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EE05" w14:textId="3FF17704" w:rsidR="001E5968" w:rsidRDefault="001E5968" w:rsidP="001E5968">
      <w:pPr>
        <w:jc w:val="both"/>
        <w:rPr>
          <w:rFonts w:ascii="Candara" w:hAnsi="Candara"/>
          <w:b/>
          <w:color w:val="1F4E79" w:themeColor="accent1" w:themeShade="80"/>
          <w:sz w:val="36"/>
        </w:rPr>
      </w:pPr>
      <w:r>
        <w:rPr>
          <w:rFonts w:ascii="Candara" w:hAnsi="Candara"/>
          <w:b/>
          <w:noProof/>
          <w:color w:val="1F4E79" w:themeColor="accent1" w:themeShade="80"/>
          <w:sz w:val="36"/>
          <w:lang w:eastAsia="en-GB"/>
        </w:rPr>
        <w:drawing>
          <wp:inline distT="0" distB="0" distL="0" distR="0" wp14:anchorId="06749DE2" wp14:editId="721C6EE9">
            <wp:extent cx="1594764" cy="879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F logo_Transparent versi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344" cy="884076"/>
                    </a:xfrm>
                    <a:prstGeom prst="rect">
                      <a:avLst/>
                    </a:prstGeom>
                  </pic:spPr>
                </pic:pic>
              </a:graphicData>
            </a:graphic>
          </wp:inline>
        </w:drawing>
      </w:r>
      <w:r>
        <w:rPr>
          <w:rFonts w:ascii="Candara" w:hAnsi="Candara"/>
          <w:b/>
          <w:color w:val="1F4E79" w:themeColor="accent1" w:themeShade="80"/>
          <w:sz w:val="36"/>
        </w:rPr>
        <w:t xml:space="preserve">                                           </w:t>
      </w:r>
      <w:r>
        <w:rPr>
          <w:rFonts w:ascii="Candara" w:hAnsi="Candara"/>
          <w:b/>
          <w:noProof/>
          <w:color w:val="1F4E79" w:themeColor="accent1" w:themeShade="80"/>
          <w:sz w:val="36"/>
          <w:lang w:eastAsia="en-GB"/>
        </w:rPr>
        <w:drawing>
          <wp:inline distT="0" distB="0" distL="0" distR="0" wp14:anchorId="017894F5" wp14:editId="630F2AE3">
            <wp:extent cx="2095977" cy="76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ampagne CMYK blan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621" cy="771269"/>
                    </a:xfrm>
                    <a:prstGeom prst="rect">
                      <a:avLst/>
                    </a:prstGeom>
                  </pic:spPr>
                </pic:pic>
              </a:graphicData>
            </a:graphic>
          </wp:inline>
        </w:drawing>
      </w:r>
    </w:p>
    <w:p w14:paraId="63CC1EA4" w14:textId="77777777" w:rsidR="001E5968" w:rsidRDefault="001E5968" w:rsidP="006924CB">
      <w:pPr>
        <w:jc w:val="center"/>
        <w:rPr>
          <w:rFonts w:ascii="Candara" w:hAnsi="Candara"/>
          <w:b/>
          <w:color w:val="1F4E79" w:themeColor="accent1" w:themeShade="80"/>
          <w:sz w:val="36"/>
        </w:rPr>
      </w:pPr>
    </w:p>
    <w:p w14:paraId="62C7269F" w14:textId="77777777" w:rsidR="001E5968" w:rsidRDefault="001E5968" w:rsidP="006924CB">
      <w:pPr>
        <w:jc w:val="center"/>
        <w:rPr>
          <w:rFonts w:ascii="Candara" w:hAnsi="Candara"/>
          <w:b/>
          <w:color w:val="1F4E79" w:themeColor="accent1" w:themeShade="80"/>
          <w:sz w:val="36"/>
        </w:rPr>
      </w:pPr>
    </w:p>
    <w:p w14:paraId="0D21984D" w14:textId="77777777" w:rsidR="001E5968" w:rsidRDefault="001E5968" w:rsidP="006924CB">
      <w:pPr>
        <w:jc w:val="center"/>
        <w:rPr>
          <w:rFonts w:ascii="Candara" w:hAnsi="Candara"/>
          <w:b/>
          <w:color w:val="1F4E79" w:themeColor="accent1" w:themeShade="80"/>
          <w:sz w:val="36"/>
        </w:rPr>
      </w:pPr>
    </w:p>
    <w:p w14:paraId="5CDC8315" w14:textId="77777777" w:rsidR="001E5968" w:rsidRDefault="001E5968" w:rsidP="006924CB">
      <w:pPr>
        <w:jc w:val="center"/>
        <w:rPr>
          <w:rFonts w:ascii="Candara" w:hAnsi="Candara"/>
          <w:b/>
          <w:color w:val="1F4E79" w:themeColor="accent1" w:themeShade="80"/>
          <w:sz w:val="36"/>
        </w:rPr>
      </w:pPr>
    </w:p>
    <w:p w14:paraId="129DB6EA" w14:textId="77777777" w:rsidR="001E5968" w:rsidRDefault="001E5968" w:rsidP="006924CB">
      <w:pPr>
        <w:jc w:val="center"/>
        <w:rPr>
          <w:rFonts w:ascii="Candara" w:hAnsi="Candara"/>
          <w:b/>
          <w:color w:val="1F4E79" w:themeColor="accent1" w:themeShade="80"/>
          <w:sz w:val="36"/>
        </w:rPr>
      </w:pPr>
    </w:p>
    <w:p w14:paraId="477EF344" w14:textId="77777777" w:rsidR="001E5968" w:rsidRDefault="001E5968" w:rsidP="006924CB">
      <w:pPr>
        <w:jc w:val="center"/>
        <w:rPr>
          <w:rFonts w:ascii="Candara" w:hAnsi="Candara"/>
          <w:b/>
          <w:color w:val="1F4E79" w:themeColor="accent1" w:themeShade="80"/>
          <w:sz w:val="36"/>
        </w:rPr>
      </w:pPr>
    </w:p>
    <w:p w14:paraId="75F699E9" w14:textId="15945546" w:rsidR="001E5968" w:rsidRPr="00073899" w:rsidRDefault="000D15B3" w:rsidP="006924CB">
      <w:pPr>
        <w:jc w:val="center"/>
        <w:rPr>
          <w:rFonts w:ascii="Candara" w:hAnsi="Candara"/>
          <w:b/>
          <w:color w:val="1F4E79" w:themeColor="accent1" w:themeShade="80"/>
          <w:sz w:val="50"/>
          <w:szCs w:val="50"/>
        </w:rPr>
      </w:pPr>
      <w:r w:rsidRPr="00073899">
        <w:rPr>
          <w:rFonts w:ascii="Candara" w:hAnsi="Candara"/>
          <w:b/>
          <w:color w:val="1F4E79" w:themeColor="accent1" w:themeShade="80"/>
          <w:sz w:val="50"/>
          <w:szCs w:val="50"/>
        </w:rPr>
        <w:t>EPF</w:t>
      </w:r>
      <w:r w:rsidR="001E5968" w:rsidRPr="00073899">
        <w:rPr>
          <w:rFonts w:ascii="Candara" w:hAnsi="Candara"/>
          <w:b/>
          <w:color w:val="1F4E79" w:themeColor="accent1" w:themeShade="80"/>
          <w:sz w:val="50"/>
          <w:szCs w:val="50"/>
        </w:rPr>
        <w:t xml:space="preserve"> Campaign on Patient Empowerment</w:t>
      </w:r>
      <w:r w:rsidR="00F920E1" w:rsidRPr="00073899">
        <w:rPr>
          <w:rFonts w:ascii="Candara" w:hAnsi="Candara"/>
          <w:b/>
          <w:color w:val="1F4E79" w:themeColor="accent1" w:themeShade="80"/>
          <w:sz w:val="50"/>
          <w:szCs w:val="50"/>
        </w:rPr>
        <w:t>:</w:t>
      </w:r>
    </w:p>
    <w:p w14:paraId="7DFCADA5" w14:textId="19789EC6" w:rsidR="007D4EF3" w:rsidRPr="00073899" w:rsidRDefault="007D4EF3" w:rsidP="006924CB">
      <w:pPr>
        <w:jc w:val="center"/>
        <w:rPr>
          <w:rFonts w:ascii="Candara" w:hAnsi="Candara"/>
          <w:b/>
          <w:color w:val="1F4E79" w:themeColor="accent1" w:themeShade="80"/>
          <w:sz w:val="50"/>
          <w:szCs w:val="50"/>
        </w:rPr>
      </w:pPr>
      <w:r w:rsidRPr="00073899">
        <w:rPr>
          <w:rFonts w:ascii="Candara" w:hAnsi="Candara"/>
          <w:b/>
          <w:color w:val="1F4E79" w:themeColor="accent1" w:themeShade="80"/>
          <w:sz w:val="50"/>
          <w:szCs w:val="50"/>
        </w:rPr>
        <w:t xml:space="preserve">Roadmap </w:t>
      </w:r>
      <w:r w:rsidR="000D15B3" w:rsidRPr="00073899">
        <w:rPr>
          <w:rFonts w:ascii="Candara" w:hAnsi="Candara"/>
          <w:b/>
          <w:color w:val="1F4E79" w:themeColor="accent1" w:themeShade="80"/>
          <w:sz w:val="50"/>
          <w:szCs w:val="50"/>
        </w:rPr>
        <w:t xml:space="preserve">for </w:t>
      </w:r>
      <w:r w:rsidR="006E6732" w:rsidRPr="00073899">
        <w:rPr>
          <w:rFonts w:ascii="Candara" w:hAnsi="Candara"/>
          <w:b/>
          <w:color w:val="1F4E79" w:themeColor="accent1" w:themeShade="80"/>
          <w:sz w:val="50"/>
          <w:szCs w:val="50"/>
        </w:rPr>
        <w:t>A</w:t>
      </w:r>
      <w:r w:rsidR="00196A82" w:rsidRPr="00073899">
        <w:rPr>
          <w:rFonts w:ascii="Candara" w:hAnsi="Candara"/>
          <w:b/>
          <w:color w:val="1F4E79" w:themeColor="accent1" w:themeShade="80"/>
          <w:sz w:val="50"/>
          <w:szCs w:val="50"/>
        </w:rPr>
        <w:t xml:space="preserve">ction </w:t>
      </w:r>
    </w:p>
    <w:p w14:paraId="58AD1A5E" w14:textId="77777777" w:rsidR="000D15B3" w:rsidRDefault="000D15B3" w:rsidP="006924CB">
      <w:pPr>
        <w:jc w:val="center"/>
        <w:rPr>
          <w:rFonts w:ascii="Candara" w:hAnsi="Candara"/>
          <w:color w:val="FF0000"/>
        </w:rPr>
      </w:pPr>
    </w:p>
    <w:p w14:paraId="20939CA2" w14:textId="2ECF4965" w:rsidR="000D15B3" w:rsidRDefault="000D15B3" w:rsidP="006924CB">
      <w:pPr>
        <w:jc w:val="center"/>
        <w:rPr>
          <w:rFonts w:ascii="Candara" w:hAnsi="Candara"/>
          <w:color w:val="FF0000"/>
        </w:rPr>
      </w:pPr>
      <w:r w:rsidRPr="000D15B3">
        <w:rPr>
          <w:rFonts w:ascii="Candara" w:hAnsi="Candara"/>
          <w:color w:val="FF0000"/>
        </w:rPr>
        <w:t>draft for consultation, please do not share</w:t>
      </w:r>
    </w:p>
    <w:p w14:paraId="613F6907" w14:textId="77777777" w:rsidR="000D15B3" w:rsidRPr="000D15B3" w:rsidRDefault="000D15B3" w:rsidP="006924CB">
      <w:pPr>
        <w:jc w:val="center"/>
        <w:rPr>
          <w:rFonts w:ascii="Candara" w:hAnsi="Candara"/>
          <w:color w:val="FF0000"/>
        </w:rPr>
      </w:pPr>
    </w:p>
    <w:sdt>
      <w:sdtPr>
        <w:rPr>
          <w:rFonts w:asciiTheme="minorHAnsi" w:eastAsiaTheme="minorHAnsi" w:hAnsiTheme="minorHAnsi" w:cstheme="minorBidi"/>
          <w:color w:val="auto"/>
          <w:sz w:val="24"/>
          <w:szCs w:val="22"/>
          <w:lang w:val="en-GB"/>
        </w:rPr>
        <w:id w:val="-2029632884"/>
        <w:docPartObj>
          <w:docPartGallery w:val="Table of Contents"/>
          <w:docPartUnique/>
        </w:docPartObj>
      </w:sdtPr>
      <w:sdtEndPr>
        <w:rPr>
          <w:b/>
          <w:bCs/>
          <w:noProof/>
        </w:rPr>
      </w:sdtEndPr>
      <w:sdtContent>
        <w:p w14:paraId="7ADEB1E2" w14:textId="77777777" w:rsidR="001E5968" w:rsidRDefault="001E5968">
          <w:pPr>
            <w:pStyle w:val="TOCHeading"/>
            <w:rPr>
              <w:rFonts w:asciiTheme="minorHAnsi" w:eastAsiaTheme="minorHAnsi" w:hAnsiTheme="minorHAnsi" w:cstheme="minorBidi"/>
              <w:color w:val="auto"/>
              <w:sz w:val="24"/>
              <w:szCs w:val="22"/>
              <w:lang w:val="en-GB"/>
            </w:rPr>
          </w:pPr>
        </w:p>
        <w:p w14:paraId="6184D67A" w14:textId="77777777" w:rsidR="001E5968" w:rsidRDefault="001E5968">
          <w:bookmarkStart w:id="0" w:name="_GoBack"/>
          <w:bookmarkEnd w:id="0"/>
          <w:r>
            <w:br w:type="page"/>
          </w:r>
        </w:p>
        <w:p w14:paraId="051292BF" w14:textId="77777777" w:rsidR="001E5968" w:rsidRDefault="001E5968"/>
        <w:p w14:paraId="619E7DF0" w14:textId="4C5B3173" w:rsidR="006924CB" w:rsidRDefault="006924CB" w:rsidP="001E5968">
          <w:pPr>
            <w:pStyle w:val="TOCHeading"/>
            <w:spacing w:after="240"/>
          </w:pPr>
          <w:r>
            <w:t>Contents</w:t>
          </w:r>
        </w:p>
        <w:p w14:paraId="7931C760" w14:textId="77777777" w:rsidR="00C759C7" w:rsidRDefault="006924CB">
          <w:pPr>
            <w:pStyle w:val="TOC2"/>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447113214" w:history="1">
            <w:r w:rsidR="00C759C7" w:rsidRPr="00FE2F98">
              <w:rPr>
                <w:rStyle w:val="Hyperlink"/>
                <w:noProof/>
              </w:rPr>
              <w:t>Foreword by EPF President (tbc)</w:t>
            </w:r>
            <w:r w:rsidR="00C759C7">
              <w:rPr>
                <w:noProof/>
                <w:webHidden/>
              </w:rPr>
              <w:tab/>
            </w:r>
            <w:r w:rsidR="00C759C7">
              <w:rPr>
                <w:noProof/>
                <w:webHidden/>
              </w:rPr>
              <w:fldChar w:fldCharType="begin"/>
            </w:r>
            <w:r w:rsidR="00C759C7">
              <w:rPr>
                <w:noProof/>
                <w:webHidden/>
              </w:rPr>
              <w:instrText xml:space="preserve"> PAGEREF _Toc447113214 \h </w:instrText>
            </w:r>
            <w:r w:rsidR="00C759C7">
              <w:rPr>
                <w:noProof/>
                <w:webHidden/>
              </w:rPr>
            </w:r>
            <w:r w:rsidR="00C759C7">
              <w:rPr>
                <w:noProof/>
                <w:webHidden/>
              </w:rPr>
              <w:fldChar w:fldCharType="separate"/>
            </w:r>
            <w:r w:rsidR="00E1527A">
              <w:rPr>
                <w:noProof/>
                <w:webHidden/>
              </w:rPr>
              <w:t>3</w:t>
            </w:r>
            <w:r w:rsidR="00C759C7">
              <w:rPr>
                <w:noProof/>
                <w:webHidden/>
              </w:rPr>
              <w:fldChar w:fldCharType="end"/>
            </w:r>
          </w:hyperlink>
        </w:p>
        <w:p w14:paraId="05BAA70A" w14:textId="77777777" w:rsidR="00C759C7" w:rsidRDefault="00121D69">
          <w:pPr>
            <w:pStyle w:val="TOC2"/>
            <w:tabs>
              <w:tab w:val="right" w:leader="dot" w:pos="9016"/>
            </w:tabs>
            <w:rPr>
              <w:rFonts w:eastAsiaTheme="minorEastAsia"/>
              <w:noProof/>
              <w:sz w:val="22"/>
              <w:lang w:eastAsia="en-GB"/>
            </w:rPr>
          </w:pPr>
          <w:hyperlink w:anchor="_Toc447113215" w:history="1">
            <w:r w:rsidR="00C759C7" w:rsidRPr="00FE2F98">
              <w:rPr>
                <w:rStyle w:val="Hyperlink"/>
                <w:noProof/>
              </w:rPr>
              <w:t>Introduction</w:t>
            </w:r>
            <w:r w:rsidR="00C759C7">
              <w:rPr>
                <w:noProof/>
                <w:webHidden/>
              </w:rPr>
              <w:tab/>
            </w:r>
            <w:r w:rsidR="00C759C7">
              <w:rPr>
                <w:noProof/>
                <w:webHidden/>
              </w:rPr>
              <w:fldChar w:fldCharType="begin"/>
            </w:r>
            <w:r w:rsidR="00C759C7">
              <w:rPr>
                <w:noProof/>
                <w:webHidden/>
              </w:rPr>
              <w:instrText xml:space="preserve"> PAGEREF _Toc447113215 \h </w:instrText>
            </w:r>
            <w:r w:rsidR="00C759C7">
              <w:rPr>
                <w:noProof/>
                <w:webHidden/>
              </w:rPr>
            </w:r>
            <w:r w:rsidR="00C759C7">
              <w:rPr>
                <w:noProof/>
                <w:webHidden/>
              </w:rPr>
              <w:fldChar w:fldCharType="separate"/>
            </w:r>
            <w:r w:rsidR="00E1527A">
              <w:rPr>
                <w:noProof/>
                <w:webHidden/>
              </w:rPr>
              <w:t>4</w:t>
            </w:r>
            <w:r w:rsidR="00C759C7">
              <w:rPr>
                <w:noProof/>
                <w:webHidden/>
              </w:rPr>
              <w:fldChar w:fldCharType="end"/>
            </w:r>
          </w:hyperlink>
        </w:p>
        <w:p w14:paraId="64A6D32B" w14:textId="77777777" w:rsidR="00C759C7" w:rsidRDefault="00121D69">
          <w:pPr>
            <w:pStyle w:val="TOC2"/>
            <w:tabs>
              <w:tab w:val="right" w:leader="dot" w:pos="9016"/>
            </w:tabs>
            <w:rPr>
              <w:rFonts w:eastAsiaTheme="minorEastAsia"/>
              <w:noProof/>
              <w:sz w:val="22"/>
              <w:lang w:eastAsia="en-GB"/>
            </w:rPr>
          </w:pPr>
          <w:hyperlink w:anchor="_Toc447113216" w:history="1">
            <w:r w:rsidR="00C759C7" w:rsidRPr="00FE2F98">
              <w:rPr>
                <w:rStyle w:val="Hyperlink"/>
                <w:noProof/>
              </w:rPr>
              <w:t>Priority area 1: High-level actions to promote patient involvement</w:t>
            </w:r>
            <w:r w:rsidR="00C759C7">
              <w:rPr>
                <w:noProof/>
                <w:webHidden/>
              </w:rPr>
              <w:tab/>
            </w:r>
            <w:r w:rsidR="00C759C7">
              <w:rPr>
                <w:noProof/>
                <w:webHidden/>
              </w:rPr>
              <w:fldChar w:fldCharType="begin"/>
            </w:r>
            <w:r w:rsidR="00C759C7">
              <w:rPr>
                <w:noProof/>
                <w:webHidden/>
              </w:rPr>
              <w:instrText xml:space="preserve"> PAGEREF _Toc447113216 \h </w:instrText>
            </w:r>
            <w:r w:rsidR="00C759C7">
              <w:rPr>
                <w:noProof/>
                <w:webHidden/>
              </w:rPr>
            </w:r>
            <w:r w:rsidR="00C759C7">
              <w:rPr>
                <w:noProof/>
                <w:webHidden/>
              </w:rPr>
              <w:fldChar w:fldCharType="separate"/>
            </w:r>
            <w:r w:rsidR="00E1527A">
              <w:rPr>
                <w:noProof/>
                <w:webHidden/>
              </w:rPr>
              <w:t>7</w:t>
            </w:r>
            <w:r w:rsidR="00C759C7">
              <w:rPr>
                <w:noProof/>
                <w:webHidden/>
              </w:rPr>
              <w:fldChar w:fldCharType="end"/>
            </w:r>
          </w:hyperlink>
        </w:p>
        <w:p w14:paraId="6EFFFCB9" w14:textId="77777777" w:rsidR="00C759C7" w:rsidRDefault="00121D69">
          <w:pPr>
            <w:pStyle w:val="TOC2"/>
            <w:tabs>
              <w:tab w:val="right" w:leader="dot" w:pos="9016"/>
            </w:tabs>
            <w:rPr>
              <w:rFonts w:eastAsiaTheme="minorEastAsia"/>
              <w:noProof/>
              <w:sz w:val="22"/>
              <w:lang w:eastAsia="en-GB"/>
            </w:rPr>
          </w:pPr>
          <w:hyperlink w:anchor="_Toc447113217" w:history="1">
            <w:r w:rsidR="00C759C7" w:rsidRPr="00FE2F98">
              <w:rPr>
                <w:rStyle w:val="Hyperlink"/>
                <w:noProof/>
              </w:rPr>
              <w:t>Priority area 2: Health literacy and information for patients</w:t>
            </w:r>
            <w:r w:rsidR="00C759C7">
              <w:rPr>
                <w:noProof/>
                <w:webHidden/>
              </w:rPr>
              <w:tab/>
            </w:r>
            <w:r w:rsidR="00C759C7">
              <w:rPr>
                <w:noProof/>
                <w:webHidden/>
              </w:rPr>
              <w:fldChar w:fldCharType="begin"/>
            </w:r>
            <w:r w:rsidR="00C759C7">
              <w:rPr>
                <w:noProof/>
                <w:webHidden/>
              </w:rPr>
              <w:instrText xml:space="preserve"> PAGEREF _Toc447113217 \h </w:instrText>
            </w:r>
            <w:r w:rsidR="00C759C7">
              <w:rPr>
                <w:noProof/>
                <w:webHidden/>
              </w:rPr>
            </w:r>
            <w:r w:rsidR="00C759C7">
              <w:rPr>
                <w:noProof/>
                <w:webHidden/>
              </w:rPr>
              <w:fldChar w:fldCharType="separate"/>
            </w:r>
            <w:r w:rsidR="00E1527A">
              <w:rPr>
                <w:noProof/>
                <w:webHidden/>
              </w:rPr>
              <w:t>8</w:t>
            </w:r>
            <w:r w:rsidR="00C759C7">
              <w:rPr>
                <w:noProof/>
                <w:webHidden/>
              </w:rPr>
              <w:fldChar w:fldCharType="end"/>
            </w:r>
          </w:hyperlink>
        </w:p>
        <w:p w14:paraId="6D8F38D2" w14:textId="77777777" w:rsidR="00C759C7" w:rsidRDefault="00121D69">
          <w:pPr>
            <w:pStyle w:val="TOC2"/>
            <w:tabs>
              <w:tab w:val="right" w:leader="dot" w:pos="9016"/>
            </w:tabs>
            <w:rPr>
              <w:rFonts w:eastAsiaTheme="minorEastAsia"/>
              <w:noProof/>
              <w:sz w:val="22"/>
              <w:lang w:eastAsia="en-GB"/>
            </w:rPr>
          </w:pPr>
          <w:hyperlink w:anchor="_Toc447113218" w:history="1">
            <w:r w:rsidR="00C759C7" w:rsidRPr="00FE2F98">
              <w:rPr>
                <w:rStyle w:val="Hyperlink"/>
                <w:noProof/>
              </w:rPr>
              <w:t>Priority area 3:  Supporting shared decision-making</w:t>
            </w:r>
            <w:r w:rsidR="00C759C7">
              <w:rPr>
                <w:noProof/>
                <w:webHidden/>
              </w:rPr>
              <w:tab/>
            </w:r>
            <w:r w:rsidR="00C759C7">
              <w:rPr>
                <w:noProof/>
                <w:webHidden/>
              </w:rPr>
              <w:fldChar w:fldCharType="begin"/>
            </w:r>
            <w:r w:rsidR="00C759C7">
              <w:rPr>
                <w:noProof/>
                <w:webHidden/>
              </w:rPr>
              <w:instrText xml:space="preserve"> PAGEREF _Toc447113218 \h </w:instrText>
            </w:r>
            <w:r w:rsidR="00C759C7">
              <w:rPr>
                <w:noProof/>
                <w:webHidden/>
              </w:rPr>
            </w:r>
            <w:r w:rsidR="00C759C7">
              <w:rPr>
                <w:noProof/>
                <w:webHidden/>
              </w:rPr>
              <w:fldChar w:fldCharType="separate"/>
            </w:r>
            <w:r w:rsidR="00E1527A">
              <w:rPr>
                <w:noProof/>
                <w:webHidden/>
              </w:rPr>
              <w:t>10</w:t>
            </w:r>
            <w:r w:rsidR="00C759C7">
              <w:rPr>
                <w:noProof/>
                <w:webHidden/>
              </w:rPr>
              <w:fldChar w:fldCharType="end"/>
            </w:r>
          </w:hyperlink>
        </w:p>
        <w:p w14:paraId="2A83B49F" w14:textId="77777777" w:rsidR="00C759C7" w:rsidRDefault="00121D69">
          <w:pPr>
            <w:pStyle w:val="TOC2"/>
            <w:tabs>
              <w:tab w:val="right" w:leader="dot" w:pos="9016"/>
            </w:tabs>
            <w:rPr>
              <w:rFonts w:eastAsiaTheme="minorEastAsia"/>
              <w:noProof/>
              <w:sz w:val="22"/>
              <w:lang w:eastAsia="en-GB"/>
            </w:rPr>
          </w:pPr>
          <w:hyperlink w:anchor="_Toc447113219" w:history="1">
            <w:r w:rsidR="00C759C7" w:rsidRPr="00FE2F98">
              <w:rPr>
                <w:rStyle w:val="Hyperlink"/>
                <w:noProof/>
              </w:rPr>
              <w:t>Priority area 4: Self-management support</w:t>
            </w:r>
            <w:r w:rsidR="00C759C7">
              <w:rPr>
                <w:noProof/>
                <w:webHidden/>
              </w:rPr>
              <w:tab/>
            </w:r>
            <w:r w:rsidR="00C759C7">
              <w:rPr>
                <w:noProof/>
                <w:webHidden/>
              </w:rPr>
              <w:fldChar w:fldCharType="begin"/>
            </w:r>
            <w:r w:rsidR="00C759C7">
              <w:rPr>
                <w:noProof/>
                <w:webHidden/>
              </w:rPr>
              <w:instrText xml:space="preserve"> PAGEREF _Toc447113219 \h </w:instrText>
            </w:r>
            <w:r w:rsidR="00C759C7">
              <w:rPr>
                <w:noProof/>
                <w:webHidden/>
              </w:rPr>
            </w:r>
            <w:r w:rsidR="00C759C7">
              <w:rPr>
                <w:noProof/>
                <w:webHidden/>
              </w:rPr>
              <w:fldChar w:fldCharType="separate"/>
            </w:r>
            <w:r w:rsidR="00E1527A">
              <w:rPr>
                <w:noProof/>
                <w:webHidden/>
              </w:rPr>
              <w:t>11</w:t>
            </w:r>
            <w:r w:rsidR="00C759C7">
              <w:rPr>
                <w:noProof/>
                <w:webHidden/>
              </w:rPr>
              <w:fldChar w:fldCharType="end"/>
            </w:r>
          </w:hyperlink>
        </w:p>
        <w:p w14:paraId="19B4F3A2" w14:textId="77777777" w:rsidR="00C759C7" w:rsidRDefault="00121D69">
          <w:pPr>
            <w:pStyle w:val="TOC2"/>
            <w:tabs>
              <w:tab w:val="right" w:leader="dot" w:pos="9016"/>
            </w:tabs>
            <w:rPr>
              <w:rFonts w:eastAsiaTheme="minorEastAsia"/>
              <w:noProof/>
              <w:sz w:val="22"/>
              <w:lang w:eastAsia="en-GB"/>
            </w:rPr>
          </w:pPr>
          <w:hyperlink w:anchor="_Toc447113220" w:history="1">
            <w:r w:rsidR="00C759C7" w:rsidRPr="00FE2F98">
              <w:rPr>
                <w:rStyle w:val="Hyperlink"/>
                <w:noProof/>
              </w:rPr>
              <w:t>Priority area 5: Patient-driven technology solutions</w:t>
            </w:r>
            <w:r w:rsidR="00C759C7">
              <w:rPr>
                <w:noProof/>
                <w:webHidden/>
              </w:rPr>
              <w:tab/>
            </w:r>
            <w:r w:rsidR="00C759C7">
              <w:rPr>
                <w:noProof/>
                <w:webHidden/>
              </w:rPr>
              <w:fldChar w:fldCharType="begin"/>
            </w:r>
            <w:r w:rsidR="00C759C7">
              <w:rPr>
                <w:noProof/>
                <w:webHidden/>
              </w:rPr>
              <w:instrText xml:space="preserve"> PAGEREF _Toc447113220 \h </w:instrText>
            </w:r>
            <w:r w:rsidR="00C759C7">
              <w:rPr>
                <w:noProof/>
                <w:webHidden/>
              </w:rPr>
            </w:r>
            <w:r w:rsidR="00C759C7">
              <w:rPr>
                <w:noProof/>
                <w:webHidden/>
              </w:rPr>
              <w:fldChar w:fldCharType="separate"/>
            </w:r>
            <w:r w:rsidR="00E1527A">
              <w:rPr>
                <w:noProof/>
                <w:webHidden/>
              </w:rPr>
              <w:t>12</w:t>
            </w:r>
            <w:r w:rsidR="00C759C7">
              <w:rPr>
                <w:noProof/>
                <w:webHidden/>
              </w:rPr>
              <w:fldChar w:fldCharType="end"/>
            </w:r>
          </w:hyperlink>
        </w:p>
        <w:p w14:paraId="4DF34659" w14:textId="77777777" w:rsidR="00C759C7" w:rsidRDefault="00121D69">
          <w:pPr>
            <w:pStyle w:val="TOC2"/>
            <w:tabs>
              <w:tab w:val="right" w:leader="dot" w:pos="9016"/>
            </w:tabs>
            <w:rPr>
              <w:rFonts w:eastAsiaTheme="minorEastAsia"/>
              <w:noProof/>
              <w:sz w:val="22"/>
              <w:lang w:eastAsia="en-GB"/>
            </w:rPr>
          </w:pPr>
          <w:hyperlink w:anchor="_Toc447113221" w:history="1">
            <w:r w:rsidR="00C759C7" w:rsidRPr="00FE2F98">
              <w:rPr>
                <w:rStyle w:val="Hyperlink"/>
                <w:noProof/>
              </w:rPr>
              <w:t>Priority area 6: Patient involvement in patient safety</w:t>
            </w:r>
            <w:r w:rsidR="00C759C7">
              <w:rPr>
                <w:noProof/>
                <w:webHidden/>
              </w:rPr>
              <w:tab/>
            </w:r>
            <w:r w:rsidR="00C759C7">
              <w:rPr>
                <w:noProof/>
                <w:webHidden/>
              </w:rPr>
              <w:fldChar w:fldCharType="begin"/>
            </w:r>
            <w:r w:rsidR="00C759C7">
              <w:rPr>
                <w:noProof/>
                <w:webHidden/>
              </w:rPr>
              <w:instrText xml:space="preserve"> PAGEREF _Toc447113221 \h </w:instrText>
            </w:r>
            <w:r w:rsidR="00C759C7">
              <w:rPr>
                <w:noProof/>
                <w:webHidden/>
              </w:rPr>
            </w:r>
            <w:r w:rsidR="00C759C7">
              <w:rPr>
                <w:noProof/>
                <w:webHidden/>
              </w:rPr>
              <w:fldChar w:fldCharType="separate"/>
            </w:r>
            <w:r w:rsidR="00E1527A">
              <w:rPr>
                <w:noProof/>
                <w:webHidden/>
              </w:rPr>
              <w:t>13</w:t>
            </w:r>
            <w:r w:rsidR="00C759C7">
              <w:rPr>
                <w:noProof/>
                <w:webHidden/>
              </w:rPr>
              <w:fldChar w:fldCharType="end"/>
            </w:r>
          </w:hyperlink>
        </w:p>
        <w:p w14:paraId="08DE9C87" w14:textId="77777777" w:rsidR="00C759C7" w:rsidRDefault="00121D69">
          <w:pPr>
            <w:pStyle w:val="TOC2"/>
            <w:tabs>
              <w:tab w:val="right" w:leader="dot" w:pos="9016"/>
            </w:tabs>
            <w:rPr>
              <w:rFonts w:eastAsiaTheme="minorEastAsia"/>
              <w:noProof/>
              <w:sz w:val="22"/>
              <w:lang w:eastAsia="en-GB"/>
            </w:rPr>
          </w:pPr>
          <w:hyperlink w:anchor="_Toc447113222" w:history="1">
            <w:r w:rsidR="00C759C7" w:rsidRPr="00FE2F98">
              <w:rPr>
                <w:rStyle w:val="Hyperlink"/>
                <w:noProof/>
              </w:rPr>
              <w:t>Priority area 7: Improving the quality of care</w:t>
            </w:r>
            <w:r w:rsidR="00C759C7">
              <w:rPr>
                <w:noProof/>
                <w:webHidden/>
              </w:rPr>
              <w:tab/>
            </w:r>
            <w:r w:rsidR="00C759C7">
              <w:rPr>
                <w:noProof/>
                <w:webHidden/>
              </w:rPr>
              <w:fldChar w:fldCharType="begin"/>
            </w:r>
            <w:r w:rsidR="00C759C7">
              <w:rPr>
                <w:noProof/>
                <w:webHidden/>
              </w:rPr>
              <w:instrText xml:space="preserve"> PAGEREF _Toc447113222 \h </w:instrText>
            </w:r>
            <w:r w:rsidR="00C759C7">
              <w:rPr>
                <w:noProof/>
                <w:webHidden/>
              </w:rPr>
            </w:r>
            <w:r w:rsidR="00C759C7">
              <w:rPr>
                <w:noProof/>
                <w:webHidden/>
              </w:rPr>
              <w:fldChar w:fldCharType="separate"/>
            </w:r>
            <w:r w:rsidR="00E1527A">
              <w:rPr>
                <w:noProof/>
                <w:webHidden/>
              </w:rPr>
              <w:t>15</w:t>
            </w:r>
            <w:r w:rsidR="00C759C7">
              <w:rPr>
                <w:noProof/>
                <w:webHidden/>
              </w:rPr>
              <w:fldChar w:fldCharType="end"/>
            </w:r>
          </w:hyperlink>
        </w:p>
        <w:p w14:paraId="5F279280" w14:textId="77777777" w:rsidR="00C759C7" w:rsidRDefault="00121D69">
          <w:pPr>
            <w:pStyle w:val="TOC2"/>
            <w:tabs>
              <w:tab w:val="right" w:leader="dot" w:pos="9016"/>
            </w:tabs>
            <w:rPr>
              <w:rFonts w:eastAsiaTheme="minorEastAsia"/>
              <w:noProof/>
              <w:sz w:val="22"/>
              <w:lang w:eastAsia="en-GB"/>
            </w:rPr>
          </w:pPr>
          <w:hyperlink w:anchor="_Toc447113223" w:history="1">
            <w:r w:rsidR="00C759C7" w:rsidRPr="00FE2F98">
              <w:rPr>
                <w:rStyle w:val="Hyperlink"/>
                <w:noProof/>
              </w:rPr>
              <w:t>Priority area 8: Patient-centred innovation/ therapeutic R&amp;D and regulation</w:t>
            </w:r>
            <w:r w:rsidR="00C759C7">
              <w:rPr>
                <w:noProof/>
                <w:webHidden/>
              </w:rPr>
              <w:tab/>
            </w:r>
            <w:r w:rsidR="00C759C7">
              <w:rPr>
                <w:noProof/>
                <w:webHidden/>
              </w:rPr>
              <w:fldChar w:fldCharType="begin"/>
            </w:r>
            <w:r w:rsidR="00C759C7">
              <w:rPr>
                <w:noProof/>
                <w:webHidden/>
              </w:rPr>
              <w:instrText xml:space="preserve"> PAGEREF _Toc447113223 \h </w:instrText>
            </w:r>
            <w:r w:rsidR="00C759C7">
              <w:rPr>
                <w:noProof/>
                <w:webHidden/>
              </w:rPr>
            </w:r>
            <w:r w:rsidR="00C759C7">
              <w:rPr>
                <w:noProof/>
                <w:webHidden/>
              </w:rPr>
              <w:fldChar w:fldCharType="separate"/>
            </w:r>
            <w:r w:rsidR="00E1527A">
              <w:rPr>
                <w:noProof/>
                <w:webHidden/>
              </w:rPr>
              <w:t>17</w:t>
            </w:r>
            <w:r w:rsidR="00C759C7">
              <w:rPr>
                <w:noProof/>
                <w:webHidden/>
              </w:rPr>
              <w:fldChar w:fldCharType="end"/>
            </w:r>
          </w:hyperlink>
        </w:p>
        <w:p w14:paraId="678E5F46" w14:textId="77777777" w:rsidR="006924CB" w:rsidRDefault="006924CB">
          <w:r>
            <w:rPr>
              <w:b/>
              <w:bCs/>
              <w:noProof/>
            </w:rPr>
            <w:fldChar w:fldCharType="end"/>
          </w:r>
        </w:p>
      </w:sdtContent>
    </w:sdt>
    <w:p w14:paraId="5BE9E1E9" w14:textId="77777777" w:rsidR="00C62C83" w:rsidRDefault="00C62C83" w:rsidP="00226165">
      <w:pPr>
        <w:pStyle w:val="Heading2"/>
        <w:spacing w:before="0" w:after="120" w:line="240" w:lineRule="auto"/>
        <w:rPr>
          <w:b w:val="0"/>
          <w:color w:val="1F3864" w:themeColor="accent5" w:themeShade="80"/>
          <w:sz w:val="28"/>
        </w:rPr>
      </w:pPr>
    </w:p>
    <w:p w14:paraId="368C8D8C" w14:textId="77777777" w:rsidR="00226165" w:rsidRDefault="00226165" w:rsidP="00226165">
      <w:pPr>
        <w:pStyle w:val="Heading2"/>
        <w:spacing w:before="0" w:after="120" w:line="240" w:lineRule="auto"/>
        <w:rPr>
          <w:b w:val="0"/>
          <w:color w:val="1F3864" w:themeColor="accent5" w:themeShade="80"/>
          <w:sz w:val="28"/>
        </w:rPr>
      </w:pPr>
    </w:p>
    <w:p w14:paraId="491F0EE6" w14:textId="77777777" w:rsidR="00C62C83" w:rsidRDefault="00C62C83">
      <w:pPr>
        <w:rPr>
          <w:rFonts w:ascii="Candara" w:eastAsiaTheme="majorEastAsia" w:hAnsi="Candara" w:cstheme="majorBidi"/>
          <w:b/>
          <w:color w:val="1F3864" w:themeColor="accent5" w:themeShade="80"/>
          <w:sz w:val="28"/>
          <w:szCs w:val="26"/>
        </w:rPr>
      </w:pPr>
      <w:r>
        <w:rPr>
          <w:color w:val="1F3864" w:themeColor="accent5" w:themeShade="80"/>
          <w:sz w:val="28"/>
        </w:rPr>
        <w:br w:type="page"/>
      </w:r>
    </w:p>
    <w:p w14:paraId="7A608DDB" w14:textId="5AAC1F00" w:rsidR="00F45595" w:rsidRPr="00335315" w:rsidRDefault="00F45595" w:rsidP="00D35C3C">
      <w:pPr>
        <w:pStyle w:val="Heading2"/>
        <w:spacing w:before="0" w:after="240" w:line="240" w:lineRule="auto"/>
        <w:rPr>
          <w:sz w:val="32"/>
        </w:rPr>
      </w:pPr>
      <w:bookmarkStart w:id="1" w:name="_Toc447113214"/>
      <w:r w:rsidRPr="00335315">
        <w:rPr>
          <w:sz w:val="32"/>
        </w:rPr>
        <w:lastRenderedPageBreak/>
        <w:t>Foreword by EPF President</w:t>
      </w:r>
      <w:r>
        <w:rPr>
          <w:sz w:val="32"/>
        </w:rPr>
        <w:t xml:space="preserve"> </w:t>
      </w:r>
      <w:r w:rsidR="00E606B2">
        <w:rPr>
          <w:sz w:val="32"/>
        </w:rPr>
        <w:t>(</w:t>
      </w:r>
      <w:r>
        <w:rPr>
          <w:sz w:val="32"/>
        </w:rPr>
        <w:t>tbc</w:t>
      </w:r>
      <w:r w:rsidRPr="00335315">
        <w:rPr>
          <w:sz w:val="32"/>
        </w:rPr>
        <w:t>)</w:t>
      </w:r>
      <w:bookmarkEnd w:id="1"/>
    </w:p>
    <w:p w14:paraId="652EF661" w14:textId="5BA030DE" w:rsidR="00F45595" w:rsidRPr="00FD1903" w:rsidRDefault="00F45595" w:rsidP="00F45595">
      <w:pPr>
        <w:spacing w:after="240"/>
        <w:rPr>
          <w:color w:val="FF0000"/>
        </w:rPr>
      </w:pPr>
      <w:r w:rsidRPr="00FD1903">
        <w:rPr>
          <w:color w:val="FF0000"/>
        </w:rPr>
        <w:t>To</w:t>
      </w:r>
      <w:r>
        <w:rPr>
          <w:color w:val="FF0000"/>
        </w:rPr>
        <w:t xml:space="preserve"> </w:t>
      </w:r>
      <w:r w:rsidRPr="00FD1903">
        <w:rPr>
          <w:color w:val="FF0000"/>
        </w:rPr>
        <w:t xml:space="preserve">be </w:t>
      </w:r>
      <w:r w:rsidR="00E606B2">
        <w:rPr>
          <w:color w:val="FF0000"/>
        </w:rPr>
        <w:t>added.</w:t>
      </w:r>
    </w:p>
    <w:p w14:paraId="6330ED1A" w14:textId="77777777" w:rsidR="00F92E2B" w:rsidRDefault="00F92E2B">
      <w:pPr>
        <w:rPr>
          <w:sz w:val="32"/>
        </w:rPr>
      </w:pPr>
    </w:p>
    <w:p w14:paraId="55AECFC3" w14:textId="02316936" w:rsidR="00F45595" w:rsidRPr="00335315" w:rsidRDefault="00F45595" w:rsidP="00D35C3C">
      <w:pPr>
        <w:pStyle w:val="Heading2"/>
        <w:spacing w:before="0" w:after="240" w:line="240" w:lineRule="auto"/>
        <w:rPr>
          <w:sz w:val="32"/>
        </w:rPr>
      </w:pPr>
      <w:bookmarkStart w:id="2" w:name="_Toc447113215"/>
      <w:r w:rsidRPr="00335315">
        <w:rPr>
          <w:sz w:val="32"/>
        </w:rPr>
        <w:t>Introduction</w:t>
      </w:r>
      <w:bookmarkEnd w:id="2"/>
      <w:r w:rsidRPr="00335315">
        <w:rPr>
          <w:sz w:val="32"/>
        </w:rPr>
        <w:t xml:space="preserve"> </w:t>
      </w:r>
    </w:p>
    <w:p w14:paraId="14A3B1B7" w14:textId="77777777" w:rsidR="00F90FD5" w:rsidRPr="00751C1B" w:rsidRDefault="00F90FD5" w:rsidP="00F90FD5">
      <w:pPr>
        <w:spacing w:after="240"/>
        <w:jc w:val="both"/>
        <w:rPr>
          <w:bCs/>
        </w:rPr>
      </w:pPr>
      <w:r w:rsidRPr="00751C1B">
        <w:rPr>
          <w:noProof/>
          <w:lang w:eastAsia="en-GB"/>
        </w:rPr>
        <mc:AlternateContent>
          <mc:Choice Requires="wps">
            <w:drawing>
              <wp:anchor distT="0" distB="0" distL="114300" distR="114300" simplePos="0" relativeHeight="251659264" behindDoc="0" locked="0" layoutInCell="1" allowOverlap="1" wp14:anchorId="5A5E93CB" wp14:editId="5D1FF7DE">
                <wp:simplePos x="0" y="0"/>
                <wp:positionH relativeFrom="margin">
                  <wp:posOffset>250166</wp:posOffset>
                </wp:positionH>
                <wp:positionV relativeFrom="paragraph">
                  <wp:posOffset>479209</wp:posOffset>
                </wp:positionV>
                <wp:extent cx="5184251" cy="844970"/>
                <wp:effectExtent l="0" t="0" r="16510" b="12700"/>
                <wp:wrapNone/>
                <wp:docPr id="19" name="Rounded Rectangle 19"/>
                <wp:cNvGraphicFramePr/>
                <a:graphic xmlns:a="http://schemas.openxmlformats.org/drawingml/2006/main">
                  <a:graphicData uri="http://schemas.microsoft.com/office/word/2010/wordprocessingShape">
                    <wps:wsp>
                      <wps:cNvSpPr/>
                      <wps:spPr>
                        <a:xfrm>
                          <a:off x="0" y="0"/>
                          <a:ext cx="5184251" cy="844970"/>
                        </a:xfrm>
                        <a:prstGeom prst="roundRect">
                          <a:avLst>
                            <a:gd name="adj" fmla="val 8172"/>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88BDB" id="Rounded Rectangle 19" o:spid="_x0000_s1026" style="position:absolute;margin-left:19.7pt;margin-top:37.75pt;width:408.2pt;height:6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" filled="f" strokecolor="#00b050" strokeweight="1.5pt">
                <v:stroke joinstyle="miter"/>
                <w10:wrap anchorx="margin"/>
              </v:roundrect>
            </w:pict>
          </mc:Fallback>
        </mc:AlternateContent>
      </w:r>
      <w:r w:rsidRPr="00751C1B">
        <w:rPr>
          <w:bCs/>
        </w:rPr>
        <w:t>Patient empowerment is at the root of our vision and mission, as reflected in the European Patients’ Forum’s Strategic Plan 2014-2020:</w:t>
      </w:r>
      <w:r w:rsidRPr="00751C1B">
        <w:rPr>
          <w:lang w:eastAsia="en-GB"/>
        </w:rPr>
        <w:t xml:space="preserve"> </w:t>
      </w:r>
    </w:p>
    <w:p w14:paraId="66E572A6" w14:textId="77777777" w:rsidR="00F90FD5" w:rsidRPr="001D1C2C" w:rsidRDefault="00F90FD5" w:rsidP="00F90FD5">
      <w:pPr>
        <w:tabs>
          <w:tab w:val="left" w:pos="8364"/>
        </w:tabs>
        <w:spacing w:after="0"/>
        <w:ind w:left="567" w:right="663"/>
        <w:jc w:val="both"/>
        <w:rPr>
          <w:sz w:val="20"/>
        </w:rPr>
      </w:pPr>
      <w:r w:rsidRPr="001D1C2C">
        <w:rPr>
          <w:b/>
          <w:bCs/>
          <w:sz w:val="20"/>
        </w:rPr>
        <w:t>Goal 4: Patient Empowerment</w:t>
      </w:r>
    </w:p>
    <w:p w14:paraId="0B6C3ADA" w14:textId="77777777" w:rsidR="00F90FD5" w:rsidRPr="001D1C2C" w:rsidRDefault="00F90FD5" w:rsidP="00F90FD5">
      <w:pPr>
        <w:tabs>
          <w:tab w:val="left" w:pos="8364"/>
        </w:tabs>
        <w:spacing w:after="360"/>
        <w:ind w:left="567" w:right="663"/>
        <w:jc w:val="both"/>
        <w:rPr>
          <w:sz w:val="20"/>
        </w:rPr>
      </w:pPr>
      <w:r w:rsidRPr="001D1C2C">
        <w:rPr>
          <w:sz w:val="20"/>
        </w:rPr>
        <w:t>To promote the development and implementation of policies, strategies and healthcare services that empower patients to be involved in the decision-making and management of their condition according to their preference, whilst raising awareness about their rights and responsibilities.</w:t>
      </w:r>
    </w:p>
    <w:p w14:paraId="1E876DAC" w14:textId="3375FF2A" w:rsidR="006B4968" w:rsidRPr="00751C1B" w:rsidRDefault="00D94C96" w:rsidP="00015FED">
      <w:pPr>
        <w:ind w:right="153"/>
        <w:jc w:val="both"/>
      </w:pPr>
      <w:r w:rsidRPr="00751C1B">
        <w:t>T</w:t>
      </w:r>
      <w:r w:rsidR="00BC243D" w:rsidRPr="00751C1B">
        <w:t>he</w:t>
      </w:r>
      <w:r w:rsidR="00290046">
        <w:t xml:space="preserve"> term </w:t>
      </w:r>
      <w:r w:rsidR="00BC243D" w:rsidRPr="00751C1B">
        <w:t xml:space="preserve">patient empowerment is often used interchangeably with </w:t>
      </w:r>
      <w:r w:rsidR="00290046">
        <w:t>others</w:t>
      </w:r>
      <w:r w:rsidR="00BC243D" w:rsidRPr="00751C1B">
        <w:t xml:space="preserve"> </w:t>
      </w:r>
      <w:r w:rsidR="00290046">
        <w:t xml:space="preserve">such </w:t>
      </w:r>
      <w:r w:rsidR="00BC243D" w:rsidRPr="00751C1B">
        <w:t>as patient involvement or patient-centred care.</w:t>
      </w:r>
      <w:r w:rsidR="00290046">
        <w:t xml:space="preserve"> Sometimes</w:t>
      </w:r>
      <w:r w:rsidR="00BC243D" w:rsidRPr="00751C1B">
        <w:t xml:space="preserve">, it is perceived </w:t>
      </w:r>
      <w:r w:rsidR="00290046">
        <w:t xml:space="preserve">simply </w:t>
      </w:r>
      <w:r w:rsidR="00BC243D" w:rsidRPr="00751C1B">
        <w:t xml:space="preserve">as the use of </w:t>
      </w:r>
      <w:r w:rsidRPr="00751C1B">
        <w:t xml:space="preserve">technology </w:t>
      </w:r>
      <w:r w:rsidR="00BC243D" w:rsidRPr="00751C1B">
        <w:t xml:space="preserve">by patients.  </w:t>
      </w:r>
      <w:r w:rsidRPr="00751C1B">
        <w:t>A recent EPF briefing paper (2015) clarifies these concepts from the patient perspective.</w:t>
      </w:r>
      <w:r w:rsidR="006B4968" w:rsidRPr="00751C1B">
        <w:rPr>
          <w:rStyle w:val="EndnoteReference"/>
        </w:rPr>
        <w:endnoteReference w:id="1"/>
      </w:r>
      <w:r w:rsidR="006B4968" w:rsidRPr="00751C1B">
        <w:t xml:space="preserve"> </w:t>
      </w:r>
      <w:r w:rsidR="00290046">
        <w:t xml:space="preserve">We </w:t>
      </w:r>
      <w:r w:rsidR="006B4968" w:rsidRPr="00751C1B">
        <w:t>use the following definition</w:t>
      </w:r>
      <w:r w:rsidR="00290046">
        <w:t xml:space="preserve"> of patient empowerment</w:t>
      </w:r>
      <w:r w:rsidR="006B4968" w:rsidRPr="00751C1B">
        <w:t>:</w:t>
      </w:r>
    </w:p>
    <w:p w14:paraId="4C872F5C" w14:textId="40204130" w:rsidR="006B4968" w:rsidRPr="00290046" w:rsidRDefault="006B4968" w:rsidP="00A270F8">
      <w:pPr>
        <w:tabs>
          <w:tab w:val="left" w:pos="8505"/>
        </w:tabs>
        <w:spacing w:line="252" w:lineRule="auto"/>
        <w:ind w:left="425" w:right="522"/>
        <w:jc w:val="both"/>
        <w:rPr>
          <w:sz w:val="22"/>
          <w:szCs w:val="21"/>
        </w:rPr>
      </w:pPr>
      <w:r w:rsidRPr="00290046">
        <w:rPr>
          <w:sz w:val="22"/>
          <w:szCs w:val="21"/>
        </w:rPr>
        <w:t>Empowerment is “a multi-dimensional process that helps people gain control over their own lives and increases their capacity to act on issues that they themselves define as important.” Collective empowerment is “a process through which individuals and communities are able to express their needs, present their concerns, devise strategies for involvement in decision-making, and take political, social, and cultural action to meet those needs.”</w:t>
      </w:r>
      <w:r w:rsidRPr="00290046">
        <w:rPr>
          <w:rStyle w:val="EndnoteReference"/>
          <w:sz w:val="22"/>
          <w:szCs w:val="21"/>
        </w:rPr>
        <w:t xml:space="preserve"> </w:t>
      </w:r>
    </w:p>
    <w:p w14:paraId="3B6E502E" w14:textId="6E5DA9D5" w:rsidR="006B4968" w:rsidRPr="00751C1B" w:rsidRDefault="006B4968" w:rsidP="00015FED">
      <w:pPr>
        <w:jc w:val="both"/>
      </w:pPr>
      <w:r w:rsidRPr="00751C1B">
        <w:t xml:space="preserve">Aspects of empowerment </w:t>
      </w:r>
      <w:r w:rsidR="00290046">
        <w:t xml:space="preserve">can </w:t>
      </w:r>
      <w:r w:rsidRPr="00751C1B">
        <w:t xml:space="preserve">include self-efficacy, self-awareness, confidence, coping skills, health literacy, etc. It </w:t>
      </w:r>
      <w:r w:rsidR="00290046">
        <w:t>can be seen as a goal as well as a process, and it is a complex concept that is context-dependent</w:t>
      </w:r>
      <w:r w:rsidRPr="00751C1B">
        <w:t>. Patients’ empowerment is affected by the people, processes</w:t>
      </w:r>
      <w:r w:rsidR="00290046">
        <w:t>, organisations</w:t>
      </w:r>
      <w:r w:rsidRPr="00751C1B">
        <w:t xml:space="preserve"> and structures that they come into contact with</w:t>
      </w:r>
      <w:r w:rsidR="00290046">
        <w:t xml:space="preserve"> and can fluctuate with time</w:t>
      </w:r>
      <w:r w:rsidRPr="00751C1B">
        <w:t xml:space="preserve">. </w:t>
      </w:r>
    </w:p>
    <w:p w14:paraId="1206CA95" w14:textId="6A54AF1F" w:rsidR="006B4968" w:rsidRPr="00751C1B" w:rsidRDefault="00290046" w:rsidP="00290046">
      <w:pPr>
        <w:spacing w:after="240"/>
        <w:ind w:right="153"/>
        <w:jc w:val="both"/>
      </w:pPr>
      <w:r>
        <w:t>In healthcare, a</w:t>
      </w:r>
      <w:r w:rsidR="006B4968" w:rsidRPr="00751C1B">
        <w:t xml:space="preserve">t the individual level, (dis)empowerment often manifests in the patient-professional relationship; at organisation level, </w:t>
      </w:r>
      <w:r>
        <w:t xml:space="preserve">in </w:t>
      </w:r>
      <w:r w:rsidR="006B4968" w:rsidRPr="00751C1B">
        <w:t xml:space="preserve">care processes or the design of the </w:t>
      </w:r>
      <w:r>
        <w:t xml:space="preserve">care </w:t>
      </w:r>
      <w:r w:rsidR="006B4968" w:rsidRPr="00751C1B">
        <w:t>environment</w:t>
      </w:r>
      <w:r>
        <w:t>.</w:t>
      </w:r>
      <w:r w:rsidR="006B4968" w:rsidRPr="00751C1B">
        <w:t xml:space="preserve"> </w:t>
      </w:r>
      <w:r w:rsidRPr="00751C1B">
        <w:t>A</w:t>
      </w:r>
      <w:r w:rsidR="006B4968" w:rsidRPr="00751C1B">
        <w:t>t</w:t>
      </w:r>
      <w:r>
        <w:t xml:space="preserve"> </w:t>
      </w:r>
      <w:r w:rsidR="006B4968" w:rsidRPr="00751C1B">
        <w:t xml:space="preserve">macro-level, factors that contribute to (dis)empowerment can include </w:t>
      </w:r>
      <w:r>
        <w:t xml:space="preserve">(the lack of) </w:t>
      </w:r>
      <w:r w:rsidR="006B4968" w:rsidRPr="00751C1B">
        <w:t>information to patients, implementation of patients’ rights, opportunities for patients to participate in health policy, and transparency of the system.</w:t>
      </w:r>
    </w:p>
    <w:p w14:paraId="5981AEA5" w14:textId="1F78BB06" w:rsidR="006B4968" w:rsidRPr="00751C1B" w:rsidRDefault="006B4968" w:rsidP="005C264A">
      <w:pPr>
        <w:spacing w:after="80"/>
        <w:jc w:val="both"/>
        <w:rPr>
          <w:rFonts w:ascii="Candara" w:hAnsi="Candara"/>
          <w:color w:val="2F5496" w:themeColor="accent5" w:themeShade="BF"/>
          <w:sz w:val="28"/>
        </w:rPr>
      </w:pPr>
      <w:r w:rsidRPr="00751C1B">
        <w:rPr>
          <w:rFonts w:ascii="Candara" w:hAnsi="Candara"/>
          <w:color w:val="2F5496" w:themeColor="accent5" w:themeShade="BF"/>
          <w:sz w:val="28"/>
        </w:rPr>
        <w:t>Patient empowerment and the challenge of chronic diseases</w:t>
      </w:r>
    </w:p>
    <w:p w14:paraId="57B14114" w14:textId="004D7160" w:rsidR="004A47E8" w:rsidRPr="00751C1B" w:rsidRDefault="004A47E8" w:rsidP="004A47E8">
      <w:pPr>
        <w:jc w:val="both"/>
      </w:pPr>
      <w:r w:rsidRPr="00751C1B">
        <w:t>Chronic diseases are conditions of long duration and generally slow progression, which result in significant morbidity and loss of healthy life years. They represent the major share of the burden of disease in Europe</w:t>
      </w:r>
      <w:r w:rsidRPr="004A47E8">
        <w:rPr>
          <w:vertAlign w:val="superscript"/>
        </w:rPr>
        <w:endnoteReference w:id="2"/>
      </w:r>
      <w:r w:rsidRPr="00751C1B">
        <w:t>, affecting more than 80% of people aged over 65.  An estimated 70-80% of healthcare costs – around €700 billion – are currently spent on chronic diseases.</w:t>
      </w:r>
      <w:r w:rsidRPr="00751C1B">
        <w:rPr>
          <w:rStyle w:val="EndnoteReference"/>
        </w:rPr>
        <w:endnoteReference w:id="3"/>
      </w:r>
      <w:r w:rsidRPr="00751C1B">
        <w:t xml:space="preserve">  Given that the </w:t>
      </w:r>
      <w:r>
        <w:t xml:space="preserve">ageing </w:t>
      </w:r>
      <w:r w:rsidRPr="00751C1B">
        <w:t xml:space="preserve">population of Europe, addressing chronic diseases is one of the key objectives of EU health policy for the next years.  </w:t>
      </w:r>
    </w:p>
    <w:p w14:paraId="6816D832" w14:textId="0DF8859A" w:rsidR="006B4968" w:rsidRPr="00751C1B" w:rsidRDefault="00290046" w:rsidP="00015FED">
      <w:pPr>
        <w:jc w:val="both"/>
      </w:pPr>
      <w:r>
        <w:lastRenderedPageBreak/>
        <w:t>For an effective strategy on chronic diseases, all the aspects of physical and mental health including health promotion,</w:t>
      </w:r>
      <w:r w:rsidR="006B4968" w:rsidRPr="00751C1B">
        <w:t xml:space="preserve"> primary and secondary prevention, </w:t>
      </w:r>
      <w:r>
        <w:t xml:space="preserve">and </w:t>
      </w:r>
      <w:r w:rsidR="006B4968" w:rsidRPr="00751C1B">
        <w:t xml:space="preserve">patient-centred chronic disease management </w:t>
      </w:r>
      <w:r>
        <w:t>should be seen holistically as a continuum where all the elements play a complementary and mutually supporting role.</w:t>
      </w:r>
      <w:r w:rsidR="006B4968" w:rsidRPr="00751C1B">
        <w:t xml:space="preserve"> </w:t>
      </w:r>
    </w:p>
    <w:p w14:paraId="36C8BDF3" w14:textId="4500B136" w:rsidR="006B4968" w:rsidRPr="00751C1B" w:rsidRDefault="004A47E8" w:rsidP="00015FED">
      <w:pPr>
        <w:jc w:val="both"/>
      </w:pPr>
      <w:r>
        <w:t>The recognition that h</w:t>
      </w:r>
      <w:r w:rsidR="006B4968" w:rsidRPr="00751C1B">
        <w:t>ealthcare</w:t>
      </w:r>
      <w:r>
        <w:t xml:space="preserve"> </w:t>
      </w:r>
      <w:r w:rsidR="006B4968" w:rsidRPr="00751C1B">
        <w:t xml:space="preserve">systems </w:t>
      </w:r>
      <w:r>
        <w:t xml:space="preserve">should change to improve not only their cost effectiveness and </w:t>
      </w:r>
      <w:r w:rsidR="006B4968" w:rsidRPr="00751C1B">
        <w:t xml:space="preserve">long-term sustainability </w:t>
      </w:r>
      <w:r>
        <w:t xml:space="preserve">but also their effectiveness in </w:t>
      </w:r>
      <w:r w:rsidR="006B4968" w:rsidRPr="00751C1B">
        <w:t>providing high-quality care, represents a paradigm shift</w:t>
      </w:r>
      <w:r>
        <w:t xml:space="preserve">. Care will need to shift from an </w:t>
      </w:r>
      <w:r w:rsidR="006B4968" w:rsidRPr="00751C1B">
        <w:t>acute, hospital</w:t>
      </w:r>
      <w:r>
        <w:t xml:space="preserve">-centric  environment to a </w:t>
      </w:r>
      <w:r w:rsidR="006B4968" w:rsidRPr="00751C1B">
        <w:t xml:space="preserve">community-based, integrated, longer-term </w:t>
      </w:r>
      <w:r>
        <w:t>model</w:t>
      </w:r>
      <w:r w:rsidR="00F40852">
        <w:t>. In this model, patients are no longer</w:t>
      </w:r>
      <w:r w:rsidR="006B4968" w:rsidRPr="00751C1B">
        <w:t xml:space="preserve"> passive recipients of care </w:t>
      </w:r>
      <w:r w:rsidR="00F40852">
        <w:t xml:space="preserve">but </w:t>
      </w:r>
      <w:r w:rsidR="006B4968" w:rsidRPr="00751C1B">
        <w:t>active partners and ultimately “co-produc</w:t>
      </w:r>
      <w:r w:rsidR="00F40852">
        <w:t>ers</w:t>
      </w:r>
      <w:r w:rsidR="006B4968" w:rsidRPr="00751C1B">
        <w:t>” of health.</w:t>
      </w:r>
      <w:r w:rsidR="00F40852">
        <w:rPr>
          <w:rStyle w:val="EndnoteReference"/>
        </w:rPr>
        <w:endnoteReference w:id="4"/>
      </w:r>
      <w:r w:rsidR="006B4968" w:rsidRPr="00751C1B">
        <w:t xml:space="preserve"> </w:t>
      </w:r>
    </w:p>
    <w:p w14:paraId="78B91755" w14:textId="77777777" w:rsidR="0089097F" w:rsidRDefault="006B4968" w:rsidP="005C264A">
      <w:pPr>
        <w:jc w:val="both"/>
      </w:pPr>
      <w:r w:rsidRPr="00751C1B">
        <w:t xml:space="preserve">There is a political acknowledgement at EU level that patients should be “at the centre” of healthcare systems and that to achieve this, patients' representative organisations should be part of healthcare-related policy and decision-making. </w:t>
      </w:r>
    </w:p>
    <w:p w14:paraId="03F58370" w14:textId="25E34628" w:rsidR="006B4968" w:rsidRPr="00751C1B" w:rsidRDefault="005C264A" w:rsidP="0089097F">
      <w:pPr>
        <w:jc w:val="both"/>
      </w:pPr>
      <w:r w:rsidRPr="00751C1B">
        <w:t>Citizens' empowerment is a core value of the EU Health Strategy Together for Health</w:t>
      </w:r>
      <w:r>
        <w:t xml:space="preserve">. In </w:t>
      </w:r>
      <w:r w:rsidR="006B4968" w:rsidRPr="00751C1B">
        <w:t xml:space="preserve">2006 </w:t>
      </w:r>
      <w:r>
        <w:t xml:space="preserve">the Council recognised patient involvement </w:t>
      </w:r>
      <w:r w:rsidR="006B4968" w:rsidRPr="00751C1B">
        <w:t xml:space="preserve">as one of the shared operating principles of European health systems. </w:t>
      </w:r>
      <w:r w:rsidRPr="00751C1B">
        <w:t>EU co-funded projects</w:t>
      </w:r>
      <w:r>
        <w:t>,</w:t>
      </w:r>
      <w:r w:rsidRPr="00751C1B">
        <w:t xml:space="preserve"> </w:t>
      </w:r>
      <w:r>
        <w:t xml:space="preserve">such as Value+, PatientPartner and EUPATI, </w:t>
      </w:r>
      <w:r w:rsidRPr="00751C1B">
        <w:t>have shown the benefits of patient engagement. Patient-centred chronic disease management with focus on patient empowerment was identified as a</w:t>
      </w:r>
      <w:r>
        <w:t xml:space="preserve"> priority </w:t>
      </w:r>
      <w:r w:rsidRPr="00751C1B">
        <w:t>in the reflection process on chronic diseases initiated.</w:t>
      </w:r>
      <w:r>
        <w:rPr>
          <w:rStyle w:val="EndnoteReference"/>
        </w:rPr>
        <w:endnoteReference w:id="5"/>
      </w:r>
      <w:r w:rsidRPr="00751C1B">
        <w:t xml:space="preserve"> </w:t>
      </w:r>
      <w:r w:rsidR="006B4968" w:rsidRPr="00751C1B">
        <w:t>Patient-centredness is recognised as a core component of quality care.</w:t>
      </w:r>
      <w:r w:rsidR="006B4968" w:rsidRPr="00751C1B">
        <w:rPr>
          <w:rStyle w:val="EndnoteReference"/>
        </w:rPr>
        <w:endnoteReference w:id="6"/>
      </w:r>
      <w:r w:rsidR="006B4968" w:rsidRPr="00751C1B">
        <w:t xml:space="preserve"> Patient-centred care models have been shown to be cost-effective as well as improve the patient experience and health outcomes.</w:t>
      </w:r>
      <w:r w:rsidR="006B4968" w:rsidRPr="00751C1B">
        <w:rPr>
          <w:rStyle w:val="EndnoteReference"/>
        </w:rPr>
        <w:endnoteReference w:id="7"/>
      </w:r>
      <w:r w:rsidR="006B4968" w:rsidRPr="00751C1B">
        <w:t xml:space="preserve"> </w:t>
      </w:r>
      <w:r w:rsidRPr="00751C1B">
        <w:t xml:space="preserve">Patients living with chronic conditions are “experts by experience” whose perspective on disease and care is unique. </w:t>
      </w:r>
      <w:r w:rsidR="006B4968" w:rsidRPr="00751C1B">
        <w:t>When</w:t>
      </w:r>
      <w:r>
        <w:t xml:space="preserve"> they </w:t>
      </w:r>
      <w:r w:rsidR="006B4968" w:rsidRPr="00751C1B">
        <w:t>are genuinely involved in healthcare decisions and their preferences are listened to and acted on, the result is better health outcomes, more engaged patients and, potentially, lower costs.</w:t>
      </w:r>
      <w:r w:rsidR="006B4968" w:rsidRPr="00751C1B">
        <w:rPr>
          <w:rStyle w:val="EndnoteReference"/>
        </w:rPr>
        <w:endnoteReference w:id="8"/>
      </w:r>
      <w:r w:rsidR="006B4968" w:rsidRPr="00751C1B">
        <w:t xml:space="preserve"> </w:t>
      </w:r>
    </w:p>
    <w:p w14:paraId="7CC0254B" w14:textId="79A70894" w:rsidR="006B4968" w:rsidRDefault="006B4968" w:rsidP="00015FED">
      <w:pPr>
        <w:ind w:right="153"/>
        <w:jc w:val="both"/>
      </w:pPr>
      <w:r w:rsidRPr="00751C1B">
        <w:t xml:space="preserve">Despite this accumulating evidence base, there is still no consistent and comprehensive approach in Europe to patient empowerment. </w:t>
      </w:r>
      <w:r w:rsidR="0089097F">
        <w:t xml:space="preserve">This extent this has no doubt to do with the different structures and cultures of European health systems, but also lack of awareness and </w:t>
      </w:r>
      <w:r w:rsidRPr="00751C1B">
        <w:t xml:space="preserve">resources; </w:t>
      </w:r>
      <w:r w:rsidR="0089097F">
        <w:t xml:space="preserve">lack of knowledge on </w:t>
      </w:r>
      <w:r w:rsidRPr="00751C1B">
        <w:t>how to meaningfully involve patient groups; and a patient community with different levels of capacity across the EU.</w:t>
      </w:r>
    </w:p>
    <w:p w14:paraId="13C7B925" w14:textId="70A1506B" w:rsidR="00290046" w:rsidRPr="00751C1B" w:rsidRDefault="0089097F" w:rsidP="00015FED">
      <w:pPr>
        <w:ind w:right="153"/>
        <w:jc w:val="both"/>
      </w:pPr>
      <w:r w:rsidRPr="00751C1B">
        <w:t>C</w:t>
      </w:r>
      <w:r w:rsidR="00290046" w:rsidRPr="00751C1B">
        <w:t>ollective</w:t>
      </w:r>
      <w:r>
        <w:t xml:space="preserve"> patient </w:t>
      </w:r>
      <w:r w:rsidR="00290046" w:rsidRPr="00751C1B">
        <w:t>empowerment</w:t>
      </w:r>
      <w:r>
        <w:t xml:space="preserve">, through the </w:t>
      </w:r>
      <w:r w:rsidR="00290046" w:rsidRPr="00751C1B">
        <w:t>meaningful involvement of patient representatives and organisations in health policy</w:t>
      </w:r>
      <w:r>
        <w:t>,</w:t>
      </w:r>
      <w:r w:rsidR="00290046" w:rsidRPr="00751C1B">
        <w:t xml:space="preserve"> service design and evaluation with the aim to </w:t>
      </w:r>
      <w:r>
        <w:t xml:space="preserve">improve </w:t>
      </w:r>
      <w:r w:rsidR="00290046" w:rsidRPr="00751C1B">
        <w:t>the system</w:t>
      </w:r>
      <w:r>
        <w:t xml:space="preserve">, will be the key to fostering patient empowerment in all EU health systems. </w:t>
      </w:r>
    </w:p>
    <w:p w14:paraId="597B466F" w14:textId="1CD9E904" w:rsidR="006B4968" w:rsidRPr="00751C1B" w:rsidRDefault="006B4968" w:rsidP="005C264A">
      <w:pPr>
        <w:spacing w:after="80"/>
        <w:jc w:val="both"/>
        <w:rPr>
          <w:rFonts w:ascii="Candara" w:hAnsi="Candara"/>
          <w:color w:val="2F5496" w:themeColor="accent5" w:themeShade="BF"/>
          <w:sz w:val="28"/>
        </w:rPr>
      </w:pPr>
      <w:r w:rsidRPr="00751C1B">
        <w:rPr>
          <w:rFonts w:ascii="Candara" w:hAnsi="Candara"/>
          <w:color w:val="2F5496" w:themeColor="accent5" w:themeShade="BF"/>
          <w:sz w:val="28"/>
        </w:rPr>
        <w:t>What we hope to achieve with this Roadmap</w:t>
      </w:r>
    </w:p>
    <w:p w14:paraId="521A69ED" w14:textId="42511E5F" w:rsidR="006B4968" w:rsidRPr="00751C1B" w:rsidRDefault="006B4968" w:rsidP="00015FED">
      <w:pPr>
        <w:jc w:val="both"/>
      </w:pPr>
      <w:r w:rsidRPr="00751C1B">
        <w:t>This Roadmap for Patient Empowerment has been developed by the European Patients’ Forum in the context of our Campaign on Patient Empowerment.</w:t>
      </w:r>
      <w:r w:rsidRPr="00751C1B">
        <w:rPr>
          <w:rStyle w:val="EndnoteReference"/>
        </w:rPr>
        <w:endnoteReference w:id="9"/>
      </w:r>
      <w:r w:rsidRPr="00751C1B">
        <w:t xml:space="preserve"> It accompanies the </w:t>
      </w:r>
      <w:r w:rsidRPr="003E7EDA">
        <w:rPr>
          <w:i/>
        </w:rPr>
        <w:t>Charter on Patient Empowerment</w:t>
      </w:r>
      <w:r w:rsidRPr="00751C1B">
        <w:t>,  transforming the fundamental principles expressed in th</w:t>
      </w:r>
      <w:r w:rsidR="003E7EDA">
        <w:t>e</w:t>
      </w:r>
      <w:r w:rsidRPr="00751C1B">
        <w:t xml:space="preserve"> </w:t>
      </w:r>
      <w:r w:rsidR="003E7EDA">
        <w:t>C</w:t>
      </w:r>
      <w:r w:rsidRPr="00751C1B">
        <w:t>harter into concrete actions the patient community wishes to see</w:t>
      </w:r>
      <w:r w:rsidR="003E7EDA">
        <w:t xml:space="preserve"> happening in practice</w:t>
      </w:r>
      <w:r w:rsidRPr="00751C1B">
        <w:t xml:space="preserve">. </w:t>
      </w:r>
      <w:r w:rsidR="00F92E2B">
        <w:t xml:space="preserve">It consists of eight </w:t>
      </w:r>
      <w:r w:rsidR="00F92E2B" w:rsidRPr="00F92E2B">
        <w:rPr>
          <w:i/>
        </w:rPr>
        <w:t>priority areas</w:t>
      </w:r>
      <w:r w:rsidR="00F92E2B">
        <w:t xml:space="preserve">, reflecting the priorities of the Charter as well as the recommendations from the EMPATHIE study (2014) and proposes a number of </w:t>
      </w:r>
      <w:r w:rsidR="00F92E2B" w:rsidRPr="00F92E2B">
        <w:rPr>
          <w:i/>
        </w:rPr>
        <w:t>key actions</w:t>
      </w:r>
      <w:r w:rsidR="00F92E2B">
        <w:t xml:space="preserve"> in each area. </w:t>
      </w:r>
    </w:p>
    <w:p w14:paraId="43AAEB91" w14:textId="34A05996" w:rsidR="006B4968" w:rsidRPr="00751C1B" w:rsidRDefault="003E7EDA" w:rsidP="003E7EDA">
      <w:pPr>
        <w:jc w:val="both"/>
      </w:pPr>
      <w:r w:rsidRPr="00751C1B">
        <w:lastRenderedPageBreak/>
        <w:t>The</w:t>
      </w:r>
      <w:r>
        <w:t xml:space="preserve"> </w:t>
      </w:r>
      <w:r w:rsidRPr="00751C1B">
        <w:t xml:space="preserve">EMPATHIE </w:t>
      </w:r>
      <w:r w:rsidR="00F92E2B">
        <w:t xml:space="preserve">stakeholder survey </w:t>
      </w:r>
      <w:r w:rsidRPr="00751C1B">
        <w:t xml:space="preserve">confirmed a strong interest </w:t>
      </w:r>
      <w:r w:rsidR="00F92E2B">
        <w:t>t</w:t>
      </w:r>
      <w:r>
        <w:t>o collaborate on patient empowerment</w:t>
      </w:r>
      <w:r w:rsidRPr="00751C1B">
        <w:t xml:space="preserve"> at European level. </w:t>
      </w:r>
      <w:r w:rsidR="006B4968" w:rsidRPr="00751C1B">
        <w:t>European collaboration</w:t>
      </w:r>
      <w:r w:rsidR="000065D1">
        <w:t xml:space="preserve"> was seen as having </w:t>
      </w:r>
      <w:r>
        <w:t>two clear objectives</w:t>
      </w:r>
      <w:r w:rsidR="006B4968" w:rsidRPr="00751C1B">
        <w:t>:</w:t>
      </w:r>
    </w:p>
    <w:p w14:paraId="0F1C03DA" w14:textId="61A99B2D" w:rsidR="006B4968" w:rsidRPr="00751C1B" w:rsidRDefault="000065D1" w:rsidP="00F92E2B">
      <w:pPr>
        <w:pStyle w:val="ListParagraph"/>
        <w:numPr>
          <w:ilvl w:val="0"/>
          <w:numId w:val="10"/>
        </w:numPr>
        <w:spacing w:after="60"/>
        <w:ind w:left="709" w:hanging="425"/>
        <w:contextualSpacing w:val="0"/>
      </w:pPr>
      <w:r>
        <w:t xml:space="preserve">achieving </w:t>
      </w:r>
      <w:r w:rsidR="006B4968" w:rsidRPr="00751C1B">
        <w:t>concrete improvements in healthcare</w:t>
      </w:r>
      <w:r>
        <w:t>,</w:t>
      </w:r>
      <w:r w:rsidR="006B4968" w:rsidRPr="00751C1B">
        <w:t xml:space="preserve"> taking as a starting point </w:t>
      </w:r>
      <w:r>
        <w:t xml:space="preserve">patients’ </w:t>
      </w:r>
      <w:r w:rsidR="006B4968" w:rsidRPr="00751C1B">
        <w:t>self-defined needs and expectations (the overall goal)</w:t>
      </w:r>
      <w:r>
        <w:t xml:space="preserve">; </w:t>
      </w:r>
    </w:p>
    <w:p w14:paraId="40CC846F" w14:textId="42B2F785" w:rsidR="006B4968" w:rsidRPr="00751C1B" w:rsidRDefault="006B4968" w:rsidP="00BC243D">
      <w:pPr>
        <w:pStyle w:val="ListParagraph"/>
        <w:numPr>
          <w:ilvl w:val="0"/>
          <w:numId w:val="10"/>
        </w:numPr>
        <w:ind w:left="709" w:hanging="425"/>
        <w:contextualSpacing w:val="0"/>
      </w:pPr>
      <w:r w:rsidRPr="00751C1B">
        <w:t>find</w:t>
      </w:r>
      <w:r w:rsidR="000065D1">
        <w:t>ing</w:t>
      </w:r>
      <w:r w:rsidRPr="00751C1B">
        <w:t xml:space="preserve"> the best working methods to reach that goal.</w:t>
      </w:r>
    </w:p>
    <w:p w14:paraId="03D58BBF" w14:textId="77777777" w:rsidR="000065D1" w:rsidRDefault="003E7EDA" w:rsidP="00015FED">
      <w:pPr>
        <w:ind w:right="153"/>
        <w:jc w:val="both"/>
      </w:pPr>
      <w:r w:rsidRPr="00751C1B">
        <w:t xml:space="preserve">The study recommended the formulation of a </w:t>
      </w:r>
      <w:r w:rsidRPr="000065D1">
        <w:rPr>
          <w:i/>
        </w:rPr>
        <w:t>European strategy on patient empowerment</w:t>
      </w:r>
      <w:r w:rsidRPr="00751C1B">
        <w:t xml:space="preserve"> </w:t>
      </w:r>
      <w:r>
        <w:t xml:space="preserve">as a </w:t>
      </w:r>
      <w:r w:rsidRPr="00751C1B">
        <w:t xml:space="preserve">starting point. </w:t>
      </w:r>
      <w:r w:rsidR="006B4968" w:rsidRPr="00751C1B">
        <w:t xml:space="preserve">This </w:t>
      </w:r>
      <w:r>
        <w:t>R</w:t>
      </w:r>
      <w:r w:rsidR="006B4968" w:rsidRPr="00751C1B">
        <w:t>oadmap hopes to go some way towards identifying priority areas of action to be included in such a strategy.</w:t>
      </w:r>
    </w:p>
    <w:p w14:paraId="40A620B1" w14:textId="14B70D5E" w:rsidR="003E7EDA" w:rsidRDefault="003E7EDA" w:rsidP="00015FED">
      <w:pPr>
        <w:ind w:right="153"/>
        <w:jc w:val="both"/>
      </w:pPr>
      <w:r>
        <w:t xml:space="preserve">We recognise that no </w:t>
      </w:r>
      <w:r w:rsidR="006B4968" w:rsidRPr="00751C1B">
        <w:t>one approach on its own will be capable of addressing all aspects of empowerment</w:t>
      </w:r>
      <w:r>
        <w:t xml:space="preserve">, in all different contexts as empowerment is </w:t>
      </w:r>
      <w:r w:rsidRPr="00751C1B">
        <w:t xml:space="preserve">complex and </w:t>
      </w:r>
      <w:r>
        <w:t xml:space="preserve">influenced by </w:t>
      </w:r>
      <w:r w:rsidRPr="00751C1B">
        <w:t>many factors</w:t>
      </w:r>
      <w:r w:rsidR="006B4968" w:rsidRPr="00751C1B">
        <w:t xml:space="preserve">. The priority areas and actions </w:t>
      </w:r>
      <w:r>
        <w:t xml:space="preserve">in this Roadmap </w:t>
      </w:r>
      <w:r w:rsidR="006B4968" w:rsidRPr="00751C1B">
        <w:t>are highly complementary</w:t>
      </w:r>
      <w:r>
        <w:t xml:space="preserve"> and can point towards multiple paths towards the goal of achieving European health systems that are</w:t>
      </w:r>
      <w:r w:rsidR="000065D1">
        <w:t xml:space="preserve"> high-quality, patient centred, participatory and sustainable.</w:t>
      </w:r>
    </w:p>
    <w:p w14:paraId="6C979FE7" w14:textId="4040F0A1" w:rsidR="006B4968" w:rsidRPr="00751C1B" w:rsidRDefault="006B4968" w:rsidP="00015FED">
      <w:pPr>
        <w:ind w:right="153"/>
        <w:jc w:val="both"/>
      </w:pPr>
      <w:r w:rsidRPr="00751C1B">
        <w:t xml:space="preserve"> </w:t>
      </w:r>
    </w:p>
    <w:p w14:paraId="566CA69D" w14:textId="77777777" w:rsidR="006B4968" w:rsidRDefault="006B4968">
      <w:pPr>
        <w:rPr>
          <w:color w:val="1F3864" w:themeColor="accent5" w:themeShade="80"/>
          <w:sz w:val="28"/>
        </w:rPr>
      </w:pPr>
    </w:p>
    <w:p w14:paraId="05A81A22" w14:textId="77777777" w:rsidR="006B4968" w:rsidRDefault="006B4968">
      <w:pPr>
        <w:rPr>
          <w:rFonts w:ascii="Candara" w:eastAsiaTheme="majorEastAsia" w:hAnsi="Candara" w:cstheme="majorBidi"/>
          <w:b/>
          <w:color w:val="1F3864" w:themeColor="accent5" w:themeShade="80"/>
          <w:sz w:val="28"/>
          <w:szCs w:val="26"/>
        </w:rPr>
      </w:pPr>
      <w:r>
        <w:rPr>
          <w:color w:val="1F3864" w:themeColor="accent5" w:themeShade="80"/>
          <w:sz w:val="28"/>
        </w:rPr>
        <w:br w:type="page"/>
      </w:r>
    </w:p>
    <w:p w14:paraId="6BF52470" w14:textId="7AEAC7CE" w:rsidR="006B4968" w:rsidRPr="00D35C3C" w:rsidRDefault="006B4968" w:rsidP="00D35C3C">
      <w:pPr>
        <w:pStyle w:val="Heading2"/>
        <w:spacing w:before="0" w:after="240" w:line="240" w:lineRule="auto"/>
        <w:rPr>
          <w:sz w:val="32"/>
        </w:rPr>
      </w:pPr>
      <w:bookmarkStart w:id="3" w:name="_Toc447113216"/>
      <w:r w:rsidRPr="00D35C3C">
        <w:rPr>
          <w:sz w:val="32"/>
        </w:rPr>
        <w:lastRenderedPageBreak/>
        <w:t>Priority area 1: High-level actions to promote patient involvement</w:t>
      </w:r>
      <w:bookmarkEnd w:id="3"/>
    </w:p>
    <w:p w14:paraId="3683CBCF" w14:textId="6DB160CA" w:rsidR="006B4968" w:rsidRPr="009C75BF" w:rsidRDefault="006B4968" w:rsidP="00A310E9">
      <w:pPr>
        <w:pStyle w:val="ListParagraph"/>
        <w:ind w:left="0"/>
        <w:contextualSpacing w:val="0"/>
        <w:jc w:val="both"/>
      </w:pPr>
      <w:r w:rsidRPr="009C75BF">
        <w:t xml:space="preserve">The Alma Ata declaration (1978) defined civic involvement in healthcare as both a right </w:t>
      </w:r>
      <w:r w:rsidRPr="00262C4E">
        <w:rPr>
          <w:i/>
        </w:rPr>
        <w:t xml:space="preserve">and </w:t>
      </w:r>
      <w:r w:rsidRPr="009C75BF">
        <w:t xml:space="preserve">a duty. Patients’ participation in health policy is </w:t>
      </w:r>
      <w:r>
        <w:t xml:space="preserve">both a fundamental democratic principle and </w:t>
      </w:r>
      <w:r w:rsidRPr="009C75BF">
        <w:t>an expression of the transparency and accountability of the system towards its users. Patient organisations are accountable to</w:t>
      </w:r>
      <w:r>
        <w:t xml:space="preserve"> their patient </w:t>
      </w:r>
      <w:r w:rsidRPr="009C75BF">
        <w:t>constituencies and effectively channel the collective voice of patients into effective policy advocacy, whether at local, regional, national, EU or global level</w:t>
      </w:r>
      <w:r>
        <w:t>s</w:t>
      </w:r>
      <w:r w:rsidRPr="009C75BF">
        <w:t>.</w:t>
      </w:r>
    </w:p>
    <w:p w14:paraId="195193AD" w14:textId="3EEF9950" w:rsidR="006B4968" w:rsidRDefault="006B4968" w:rsidP="00A310E9">
      <w:pPr>
        <w:pStyle w:val="ListParagraph"/>
        <w:ind w:left="0"/>
        <w:contextualSpacing w:val="0"/>
        <w:jc w:val="both"/>
      </w:pPr>
      <w:r w:rsidRPr="009C75BF">
        <w:t>Patient organisations represent a constituency of patients and put forward views arrived at through a consultative, democratic process. They perform a valuable public service, including through their ongoing collaboration with regulatory institutions and Health Technology Assessment bodies. They also function as community support organisations at grassroots level.</w:t>
      </w:r>
      <w:r w:rsidRPr="00262C4E">
        <w:t xml:space="preserve"> </w:t>
      </w:r>
      <w:r w:rsidRPr="009C75BF">
        <w:t>Nevertheless, they often suffer from chronic lack of resources and staff.</w:t>
      </w:r>
    </w:p>
    <w:p w14:paraId="792E860F" w14:textId="46652203" w:rsidR="006B4968" w:rsidRPr="009C75BF" w:rsidRDefault="006B4968" w:rsidP="00B74AB8">
      <w:pPr>
        <w:pStyle w:val="ListParagraph"/>
        <w:spacing w:after="240"/>
        <w:ind w:left="0"/>
        <w:contextualSpacing w:val="0"/>
        <w:jc w:val="both"/>
      </w:pPr>
      <w:r w:rsidRPr="009C75BF">
        <w:t xml:space="preserve">The following actions should be taken to ensure that </w:t>
      </w:r>
      <w:r>
        <w:t>patient organisations are recognised as key stakeholders</w:t>
      </w:r>
      <w:r w:rsidRPr="009C75BF">
        <w:t xml:space="preserve"> </w:t>
      </w:r>
      <w:r>
        <w:t xml:space="preserve">and members of the public health community; that </w:t>
      </w:r>
      <w:r w:rsidRPr="009C75BF">
        <w:t>policies</w:t>
      </w:r>
      <w:r>
        <w:t xml:space="preserve"> which </w:t>
      </w:r>
      <w:r w:rsidRPr="009C75BF">
        <w:t xml:space="preserve">affect patients </w:t>
      </w:r>
      <w:r>
        <w:t xml:space="preserve">directly or indirectly </w:t>
      </w:r>
      <w:r w:rsidRPr="009C75BF">
        <w:t xml:space="preserve">are developed </w:t>
      </w:r>
      <w:r>
        <w:t>with the meaningful participation of patient organisations; and that patient organisations are appropriately resourced and supported to accomplish their role.</w:t>
      </w:r>
    </w:p>
    <w:tbl>
      <w:tblPr>
        <w:tblStyle w:val="TableGrid"/>
        <w:tblW w:w="8931" w:type="dxa"/>
        <w:tblInd w:w="-5" w:type="dxa"/>
        <w:tblLook w:val="04A0" w:firstRow="1" w:lastRow="0" w:firstColumn="1" w:lastColumn="0" w:noHBand="0" w:noVBand="1"/>
      </w:tblPr>
      <w:tblGrid>
        <w:gridCol w:w="3969"/>
        <w:gridCol w:w="3402"/>
        <w:gridCol w:w="1560"/>
      </w:tblGrid>
      <w:tr w:rsidR="006B4968" w:rsidRPr="00544F53" w14:paraId="284C1489" w14:textId="60418812" w:rsidTr="00AE5CB6">
        <w:trPr>
          <w:trHeight w:val="617"/>
        </w:trPr>
        <w:tc>
          <w:tcPr>
            <w:tcW w:w="3969" w:type="dxa"/>
            <w:shd w:val="clear" w:color="auto" w:fill="AFD7FF"/>
          </w:tcPr>
          <w:p w14:paraId="3A6DA0A7" w14:textId="593D2F53" w:rsidR="006B4968" w:rsidRPr="00544F53" w:rsidRDefault="006B4968" w:rsidP="00262C4E">
            <w:pPr>
              <w:spacing w:after="40"/>
              <w:rPr>
                <w:b/>
                <w:sz w:val="22"/>
              </w:rPr>
            </w:pPr>
            <w:r w:rsidRPr="00544F53">
              <w:rPr>
                <w:sz w:val="22"/>
              </w:rPr>
              <w:t xml:space="preserve"> </w:t>
            </w:r>
            <w:r w:rsidRPr="00544F53">
              <w:rPr>
                <w:b/>
                <w:sz w:val="22"/>
              </w:rPr>
              <w:t xml:space="preserve">Action </w:t>
            </w:r>
          </w:p>
        </w:tc>
        <w:tc>
          <w:tcPr>
            <w:tcW w:w="3402" w:type="dxa"/>
            <w:shd w:val="clear" w:color="auto" w:fill="AFD7FF"/>
          </w:tcPr>
          <w:p w14:paraId="1AB8F891" w14:textId="6F83B48A" w:rsidR="006B4968" w:rsidRPr="00544F53" w:rsidRDefault="006B4968" w:rsidP="009D2C2D">
            <w:pPr>
              <w:spacing w:after="40"/>
              <w:rPr>
                <w:b/>
                <w:sz w:val="22"/>
              </w:rPr>
            </w:pPr>
            <w:r w:rsidRPr="00544F53">
              <w:rPr>
                <w:b/>
                <w:sz w:val="22"/>
              </w:rPr>
              <w:t>Objective/example of achievement</w:t>
            </w:r>
          </w:p>
        </w:tc>
        <w:tc>
          <w:tcPr>
            <w:tcW w:w="1560" w:type="dxa"/>
            <w:shd w:val="clear" w:color="auto" w:fill="AFD7FF"/>
          </w:tcPr>
          <w:p w14:paraId="4D0E0E9A" w14:textId="66ED3E3A" w:rsidR="006B4968" w:rsidRPr="00544F53" w:rsidRDefault="006B4968" w:rsidP="00262C4E">
            <w:pPr>
              <w:spacing w:after="40"/>
              <w:rPr>
                <w:b/>
                <w:sz w:val="22"/>
              </w:rPr>
            </w:pPr>
            <w:r w:rsidRPr="00544F53">
              <w:rPr>
                <w:b/>
                <w:sz w:val="22"/>
              </w:rPr>
              <w:t>Time-frame</w:t>
            </w:r>
          </w:p>
        </w:tc>
      </w:tr>
      <w:tr w:rsidR="006B4968" w:rsidRPr="00E54540" w14:paraId="7D402491" w14:textId="2F5311A6" w:rsidTr="00B74AB8">
        <w:tc>
          <w:tcPr>
            <w:tcW w:w="3969" w:type="dxa"/>
          </w:tcPr>
          <w:p w14:paraId="09BC98A6" w14:textId="2FF7DD57" w:rsidR="006B4968" w:rsidRPr="008E38A5" w:rsidRDefault="006B4968" w:rsidP="00B74AB8">
            <w:pPr>
              <w:spacing w:after="120"/>
              <w:rPr>
                <w:sz w:val="22"/>
              </w:rPr>
            </w:pPr>
            <w:r>
              <w:rPr>
                <w:sz w:val="22"/>
              </w:rPr>
              <w:t xml:space="preserve">EU Strategy on Patient Empowerment for sustainable, participatory health systems, including action plan for health literacy and strategies for vulnerable groups. </w:t>
            </w:r>
          </w:p>
        </w:tc>
        <w:tc>
          <w:tcPr>
            <w:tcW w:w="3402" w:type="dxa"/>
          </w:tcPr>
          <w:p w14:paraId="2338D9B8" w14:textId="2F33D943" w:rsidR="006B4968" w:rsidRPr="00E54540" w:rsidRDefault="006B4968" w:rsidP="00B74AB8">
            <w:pPr>
              <w:spacing w:after="60"/>
              <w:rPr>
                <w:sz w:val="22"/>
              </w:rPr>
            </w:pPr>
            <w:r>
              <w:rPr>
                <w:sz w:val="22"/>
              </w:rPr>
              <w:t xml:space="preserve">European Commission to lead the process with a balanced participation of all relevant stakeholders. </w:t>
            </w:r>
          </w:p>
        </w:tc>
        <w:tc>
          <w:tcPr>
            <w:tcW w:w="1560" w:type="dxa"/>
          </w:tcPr>
          <w:p w14:paraId="20D8CFC5" w14:textId="3D1638BE" w:rsidR="006B4968" w:rsidRDefault="006B4968" w:rsidP="00171CFF">
            <w:pPr>
              <w:spacing w:after="60"/>
              <w:rPr>
                <w:sz w:val="22"/>
              </w:rPr>
            </w:pPr>
            <w:r>
              <w:rPr>
                <w:sz w:val="22"/>
              </w:rPr>
              <w:t>Medium</w:t>
            </w:r>
          </w:p>
        </w:tc>
      </w:tr>
      <w:tr w:rsidR="006B4968" w:rsidRPr="00E54540" w14:paraId="75BC6025" w14:textId="77777777" w:rsidTr="006E204B">
        <w:tc>
          <w:tcPr>
            <w:tcW w:w="3969" w:type="dxa"/>
            <w:shd w:val="clear" w:color="auto" w:fill="DDEEFF"/>
          </w:tcPr>
          <w:p w14:paraId="5A28D3F3" w14:textId="1800407F" w:rsidR="006B4968" w:rsidRPr="008E38A5" w:rsidRDefault="006B4968" w:rsidP="00B74AB8">
            <w:pPr>
              <w:spacing w:after="120"/>
              <w:rPr>
                <w:sz w:val="22"/>
              </w:rPr>
            </w:pPr>
            <w:r>
              <w:rPr>
                <w:sz w:val="22"/>
              </w:rPr>
              <w:t xml:space="preserve">Improved support for patient organisations active at European level through EU “core grants”. </w:t>
            </w:r>
          </w:p>
        </w:tc>
        <w:tc>
          <w:tcPr>
            <w:tcW w:w="3402" w:type="dxa"/>
            <w:shd w:val="clear" w:color="auto" w:fill="DDEEFF"/>
          </w:tcPr>
          <w:p w14:paraId="6B57F9CD" w14:textId="55260C72" w:rsidR="006B4968" w:rsidRPr="00E54540" w:rsidRDefault="006B4968" w:rsidP="00171CFF">
            <w:pPr>
              <w:spacing w:after="60"/>
              <w:rPr>
                <w:sz w:val="22"/>
              </w:rPr>
            </w:pPr>
            <w:r>
              <w:rPr>
                <w:sz w:val="22"/>
              </w:rPr>
              <w:t>Adjustment of the current financial criteria to enable more patient groups to become eligible.</w:t>
            </w:r>
          </w:p>
        </w:tc>
        <w:tc>
          <w:tcPr>
            <w:tcW w:w="1560" w:type="dxa"/>
            <w:shd w:val="clear" w:color="auto" w:fill="DDEEFF"/>
          </w:tcPr>
          <w:p w14:paraId="29171639" w14:textId="77777777" w:rsidR="006B4968" w:rsidRPr="00E54540" w:rsidRDefault="006B4968" w:rsidP="00171CFF">
            <w:pPr>
              <w:spacing w:after="60"/>
              <w:rPr>
                <w:sz w:val="22"/>
              </w:rPr>
            </w:pPr>
            <w:r>
              <w:rPr>
                <w:sz w:val="22"/>
              </w:rPr>
              <w:t>Short - medium</w:t>
            </w:r>
          </w:p>
        </w:tc>
      </w:tr>
      <w:tr w:rsidR="006B4968" w:rsidRPr="00E54540" w14:paraId="5C381C2E" w14:textId="38A77077" w:rsidTr="00B74AB8">
        <w:tc>
          <w:tcPr>
            <w:tcW w:w="3969" w:type="dxa"/>
          </w:tcPr>
          <w:p w14:paraId="1040FA23" w14:textId="049D04D1" w:rsidR="006B4968" w:rsidRPr="008E38A5" w:rsidRDefault="006B4968" w:rsidP="000E779D">
            <w:pPr>
              <w:spacing w:after="120"/>
              <w:rPr>
                <w:sz w:val="22"/>
              </w:rPr>
            </w:pPr>
            <w:r>
              <w:rPr>
                <w:sz w:val="22"/>
              </w:rPr>
              <w:t xml:space="preserve">Exploration of innovative, </w:t>
            </w:r>
            <w:r w:rsidRPr="00171CFF">
              <w:rPr>
                <w:sz w:val="22"/>
              </w:rPr>
              <w:t xml:space="preserve">ethical ways of </w:t>
            </w:r>
            <w:r>
              <w:rPr>
                <w:sz w:val="22"/>
              </w:rPr>
              <w:t xml:space="preserve">funding national </w:t>
            </w:r>
            <w:r w:rsidRPr="00171CFF">
              <w:rPr>
                <w:sz w:val="22"/>
              </w:rPr>
              <w:t>patient organisations from</w:t>
            </w:r>
            <w:r>
              <w:rPr>
                <w:sz w:val="22"/>
              </w:rPr>
              <w:t xml:space="preserve"> multiple sources </w:t>
            </w:r>
            <w:r w:rsidRPr="00262C4E">
              <w:rPr>
                <w:sz w:val="22"/>
              </w:rPr>
              <w:t xml:space="preserve">so they can accomplish </w:t>
            </w:r>
            <w:r>
              <w:rPr>
                <w:sz w:val="22"/>
              </w:rPr>
              <w:t xml:space="preserve">their role effectively </w:t>
            </w:r>
            <w:r w:rsidRPr="00262C4E">
              <w:rPr>
                <w:sz w:val="22"/>
              </w:rPr>
              <w:t>whilst maintaining their independence.</w:t>
            </w:r>
          </w:p>
        </w:tc>
        <w:tc>
          <w:tcPr>
            <w:tcW w:w="3402" w:type="dxa"/>
          </w:tcPr>
          <w:p w14:paraId="27C8C4F1" w14:textId="07795419" w:rsidR="006B4968" w:rsidRPr="00E54540" w:rsidRDefault="006B4968" w:rsidP="000E779D">
            <w:pPr>
              <w:spacing w:after="60"/>
              <w:rPr>
                <w:sz w:val="22"/>
              </w:rPr>
            </w:pPr>
            <w:r>
              <w:rPr>
                <w:sz w:val="22"/>
              </w:rPr>
              <w:t>Member state governments, patient organisations, private sector – to develop a support strategy as a collaborative effort?</w:t>
            </w:r>
          </w:p>
        </w:tc>
        <w:tc>
          <w:tcPr>
            <w:tcW w:w="1560" w:type="dxa"/>
          </w:tcPr>
          <w:p w14:paraId="0A924C0B" w14:textId="6CA7948C" w:rsidR="006B4968" w:rsidRPr="00E54540" w:rsidRDefault="006B4968" w:rsidP="00171CFF">
            <w:pPr>
              <w:spacing w:after="60"/>
              <w:rPr>
                <w:sz w:val="22"/>
              </w:rPr>
            </w:pPr>
            <w:r>
              <w:rPr>
                <w:sz w:val="22"/>
              </w:rPr>
              <w:t>Medium - long</w:t>
            </w:r>
          </w:p>
        </w:tc>
      </w:tr>
      <w:tr w:rsidR="006B4968" w:rsidRPr="00E54540" w14:paraId="2095E352" w14:textId="536D9373" w:rsidTr="006E204B">
        <w:tc>
          <w:tcPr>
            <w:tcW w:w="3969" w:type="dxa"/>
            <w:shd w:val="clear" w:color="auto" w:fill="DDEEFF"/>
          </w:tcPr>
          <w:p w14:paraId="4077E0EA" w14:textId="37AB7E1A" w:rsidR="006B4968" w:rsidRPr="00E54540" w:rsidRDefault="006B4968" w:rsidP="006E204B">
            <w:pPr>
              <w:spacing w:after="120"/>
              <w:rPr>
                <w:sz w:val="22"/>
              </w:rPr>
            </w:pPr>
            <w:r>
              <w:rPr>
                <w:sz w:val="22"/>
              </w:rPr>
              <w:t>Collection of good practices and initiatives on patient empowerment and patient organisations’ involvement at local and national levels for sharing and mutual learning.</w:t>
            </w:r>
          </w:p>
        </w:tc>
        <w:tc>
          <w:tcPr>
            <w:tcW w:w="3402" w:type="dxa"/>
            <w:shd w:val="clear" w:color="auto" w:fill="DDEEFF"/>
          </w:tcPr>
          <w:p w14:paraId="51FC5257" w14:textId="2D9004AA" w:rsidR="006B4968" w:rsidRPr="00E54540" w:rsidRDefault="006B4968" w:rsidP="006E204B">
            <w:pPr>
              <w:spacing w:after="60"/>
              <w:rPr>
                <w:sz w:val="22"/>
              </w:rPr>
            </w:pPr>
            <w:r>
              <w:rPr>
                <w:sz w:val="22"/>
              </w:rPr>
              <w:t xml:space="preserve">An online </w:t>
            </w:r>
            <w:r w:rsidRPr="00171CFF">
              <w:rPr>
                <w:sz w:val="22"/>
              </w:rPr>
              <w:t>repository</w:t>
            </w:r>
            <w:r>
              <w:rPr>
                <w:sz w:val="22"/>
              </w:rPr>
              <w:t xml:space="preserve"> with information, experiences, tools and resources, openly accessible. (Implemented as a project?)</w:t>
            </w:r>
          </w:p>
        </w:tc>
        <w:tc>
          <w:tcPr>
            <w:tcW w:w="1560" w:type="dxa"/>
            <w:shd w:val="clear" w:color="auto" w:fill="DDEEFF"/>
          </w:tcPr>
          <w:p w14:paraId="2DBE7AAB" w14:textId="6CFA26AD" w:rsidR="006B4968" w:rsidRPr="00E54540" w:rsidRDefault="006B4968" w:rsidP="00171CFF">
            <w:pPr>
              <w:spacing w:after="60"/>
              <w:rPr>
                <w:sz w:val="22"/>
              </w:rPr>
            </w:pPr>
            <w:r>
              <w:rPr>
                <w:sz w:val="22"/>
              </w:rPr>
              <w:t>Short -medium</w:t>
            </w:r>
          </w:p>
        </w:tc>
      </w:tr>
    </w:tbl>
    <w:p w14:paraId="5AF4692C" w14:textId="77777777" w:rsidR="006B4968" w:rsidRDefault="006B4968" w:rsidP="00876570">
      <w:pPr>
        <w:rPr>
          <w:sz w:val="22"/>
        </w:rPr>
      </w:pPr>
    </w:p>
    <w:p w14:paraId="499EB7B3" w14:textId="6EE6C155" w:rsidR="006B4968" w:rsidRPr="00D35C3C" w:rsidRDefault="006B4968" w:rsidP="009C75BF">
      <w:pPr>
        <w:pStyle w:val="Heading2"/>
        <w:spacing w:before="0" w:after="240" w:line="240" w:lineRule="auto"/>
        <w:rPr>
          <w:sz w:val="32"/>
        </w:rPr>
      </w:pPr>
      <w:r>
        <w:rPr>
          <w:color w:val="1F3864" w:themeColor="accent5" w:themeShade="80"/>
          <w:sz w:val="28"/>
        </w:rPr>
        <w:br w:type="page"/>
      </w:r>
      <w:bookmarkStart w:id="4" w:name="_Toc447113217"/>
      <w:r w:rsidRPr="00D35C3C">
        <w:rPr>
          <w:sz w:val="32"/>
        </w:rPr>
        <w:lastRenderedPageBreak/>
        <w:t>Priority area 2: Health literacy and information for patients</w:t>
      </w:r>
      <w:bookmarkEnd w:id="4"/>
    </w:p>
    <w:p w14:paraId="42859B26" w14:textId="379D4515" w:rsidR="006B4968" w:rsidRPr="009C75BF" w:rsidRDefault="006B4968" w:rsidP="00A310E9">
      <w:pPr>
        <w:pStyle w:val="ListParagraph"/>
        <w:ind w:left="0"/>
        <w:contextualSpacing w:val="0"/>
        <w:jc w:val="both"/>
      </w:pPr>
      <w:r w:rsidRPr="009C75BF">
        <w:t>People in 21</w:t>
      </w:r>
      <w:r w:rsidRPr="009C75BF">
        <w:rPr>
          <w:vertAlign w:val="superscript"/>
        </w:rPr>
        <w:t>st</w:t>
      </w:r>
      <w:r w:rsidRPr="009C75BF">
        <w:t xml:space="preserve"> century society are increasingly asked to take responsibility for their own health and well-being, while confronted with huge amounts of complex and sometimes contradictory information. In this context, health literacy is seen as both a dimension of empowerment</w:t>
      </w:r>
      <w:r>
        <w:t xml:space="preserve"> </w:t>
      </w:r>
      <w:r w:rsidRPr="009C75BF">
        <w:t>and a critical strategy towards empowerment health equity.</w:t>
      </w:r>
      <w:r w:rsidRPr="009C75BF">
        <w:rPr>
          <w:rStyle w:val="EndnoteReference"/>
        </w:rPr>
        <w:endnoteReference w:id="10"/>
      </w:r>
    </w:p>
    <w:p w14:paraId="1D87F806" w14:textId="583F25E7" w:rsidR="006B4968" w:rsidRPr="009C75BF" w:rsidRDefault="006B4968" w:rsidP="00A310E9">
      <w:pPr>
        <w:pStyle w:val="ListParagraph"/>
        <w:ind w:left="0"/>
        <w:contextualSpacing w:val="0"/>
        <w:jc w:val="both"/>
      </w:pPr>
      <w:r w:rsidRPr="009C75BF">
        <w:t>Health literacy encompasses accessing, understanding and evaluating health-related information, as well as transforming it into appropriate actions</w:t>
      </w:r>
      <w:r>
        <w:t xml:space="preserve"> in everyday life</w:t>
      </w:r>
      <w:r w:rsidRPr="009C75BF">
        <w:t>.</w:t>
      </w:r>
      <w:r w:rsidRPr="009C75BF">
        <w:rPr>
          <w:rStyle w:val="EndnoteReference"/>
        </w:rPr>
        <w:endnoteReference w:id="11"/>
      </w:r>
      <w:r w:rsidRPr="009C75BF">
        <w:t xml:space="preserve"> Low health literacy has a negative impact on people’s health and is related to increased costs to the healthcare system.</w:t>
      </w:r>
      <w:r w:rsidRPr="009C75BF">
        <w:rPr>
          <w:rStyle w:val="EndnoteReference"/>
        </w:rPr>
        <w:endnoteReference w:id="12"/>
      </w:r>
      <w:r w:rsidRPr="009C75BF">
        <w:t xml:space="preserve"> </w:t>
      </w:r>
    </w:p>
    <w:p w14:paraId="69EED8DD" w14:textId="295BB900" w:rsidR="00854108" w:rsidRPr="00517A89" w:rsidRDefault="00854108" w:rsidP="00854108">
      <w:pPr>
        <w:pStyle w:val="ListParagraph"/>
        <w:ind w:left="0"/>
        <w:contextualSpacing w:val="0"/>
        <w:jc w:val="both"/>
      </w:pPr>
      <w:r w:rsidRPr="00517A89">
        <w:t>The Third Health Programme states that patients “need to be empowered, inter alia by enhancing health literacy, to manage their health and their healthcare more pro-actively, to prevent poor health and make informed choices. The transparency of healthcare activities and systems and the availability of reliable, independent and user-friendly information to patients should be optimised.”</w:t>
      </w:r>
      <w:r w:rsidRPr="00517A89">
        <w:rPr>
          <w:rStyle w:val="EndnoteReference"/>
        </w:rPr>
        <w:endnoteReference w:id="13"/>
      </w:r>
      <w:r w:rsidRPr="00517A89">
        <w:t xml:space="preserve"> </w:t>
      </w:r>
    </w:p>
    <w:p w14:paraId="2B39C3F8" w14:textId="1BC3CBB7" w:rsidR="006B4968" w:rsidRPr="009C75BF" w:rsidRDefault="006B4968" w:rsidP="00A310E9">
      <w:pPr>
        <w:pStyle w:val="ListParagraph"/>
        <w:ind w:left="0"/>
        <w:contextualSpacing w:val="0"/>
        <w:jc w:val="both"/>
      </w:pPr>
      <w:r>
        <w:t xml:space="preserve">The </w:t>
      </w:r>
      <w:r w:rsidRPr="009C75BF">
        <w:t>2012 European Health Literacy</w:t>
      </w:r>
      <w:r>
        <w:t xml:space="preserve"> study </w:t>
      </w:r>
      <w:r w:rsidRPr="009C75BF">
        <w:t>showed that nearly half of respondents had limited health literacy.</w:t>
      </w:r>
      <w:r w:rsidRPr="009C75BF">
        <w:rPr>
          <w:rStyle w:val="EndnoteReference"/>
        </w:rPr>
        <w:endnoteReference w:id="14"/>
      </w:r>
      <w:r w:rsidRPr="009C75BF">
        <w:t xml:space="preserve"> </w:t>
      </w:r>
      <w:r>
        <w:t xml:space="preserve">In recognition of this challenge, </w:t>
      </w:r>
      <w:r w:rsidRPr="009C75BF">
        <w:t>an informal group of patients, researchers, health professionals and industry published a consensus paper calling for health literacy to be a priority in EU policy.</w:t>
      </w:r>
      <w:r w:rsidRPr="009C75BF">
        <w:rPr>
          <w:rStyle w:val="EndnoteReference"/>
        </w:rPr>
        <w:endnoteReference w:id="15"/>
      </w:r>
      <w:r w:rsidRPr="009C75BF">
        <w:t xml:space="preserve"> A European mapping study published in June 2015 showed that whilst </w:t>
      </w:r>
      <w:r>
        <w:t xml:space="preserve">interest in health literacy </w:t>
      </w:r>
      <w:r w:rsidRPr="009C75BF">
        <w:t xml:space="preserve">is increasing, important gaps remain in </w:t>
      </w:r>
      <w:r>
        <w:t>evidence</w:t>
      </w:r>
      <w:r w:rsidRPr="009C75BF">
        <w:t>.</w:t>
      </w:r>
      <w:r>
        <w:rPr>
          <w:rStyle w:val="EndnoteReference"/>
        </w:rPr>
        <w:endnoteReference w:id="16"/>
      </w:r>
      <w:r w:rsidRPr="009C75BF">
        <w:t xml:space="preserve"> Major EU-funded research projects</w:t>
      </w:r>
      <w:r>
        <w:t xml:space="preserve"> also </w:t>
      </w:r>
      <w:r w:rsidRPr="009C75BF">
        <w:t>recently concluded.</w:t>
      </w:r>
      <w:r w:rsidRPr="009C75BF">
        <w:rPr>
          <w:rStyle w:val="EndnoteReference"/>
        </w:rPr>
        <w:endnoteReference w:id="17"/>
      </w:r>
    </w:p>
    <w:p w14:paraId="621FD7EF" w14:textId="046574DE" w:rsidR="006B4968" w:rsidRPr="009C75BF" w:rsidRDefault="006B4968" w:rsidP="00A310E9">
      <w:pPr>
        <w:pStyle w:val="ListParagraph"/>
        <w:ind w:left="0"/>
        <w:contextualSpacing w:val="0"/>
        <w:jc w:val="both"/>
      </w:pPr>
      <w:r w:rsidRPr="009C75BF">
        <w:t xml:space="preserve">Despite </w:t>
      </w:r>
      <w:r>
        <w:t xml:space="preserve">the accumulating </w:t>
      </w:r>
      <w:r w:rsidRPr="00C41766">
        <w:t>evidence-base</w:t>
      </w:r>
      <w:r w:rsidRPr="009C75BF">
        <w:t xml:space="preserve">, there is no coherent EU strategy on health literacy or health-related information for patients and citizens. </w:t>
      </w:r>
    </w:p>
    <w:p w14:paraId="7AABD9AA" w14:textId="205764E8" w:rsidR="006B4968" w:rsidRDefault="006B4968" w:rsidP="006B4968">
      <w:pPr>
        <w:pStyle w:val="ListParagraph"/>
        <w:spacing w:after="240"/>
        <w:ind w:left="0"/>
        <w:contextualSpacing w:val="0"/>
        <w:jc w:val="both"/>
      </w:pPr>
      <w:r w:rsidRPr="009C75BF">
        <w:t>Patients need the right information, in the right amount, at the right time. Information should be available from the most basic to the most complex, according to a patients’ needs and wishes at any given time. Information must be of high quality: accurate, comprehensive, understandable, evidence-based. Ideally, information targeted at patients should be developed together with patients.</w:t>
      </w:r>
      <w:r w:rsidRPr="009C75BF">
        <w:rPr>
          <w:rStyle w:val="EndnoteReference"/>
        </w:rPr>
        <w:endnoteReference w:id="18"/>
      </w:r>
      <w:r w:rsidRPr="009C75BF">
        <w:t xml:space="preserve"> </w:t>
      </w:r>
    </w:p>
    <w:tbl>
      <w:tblPr>
        <w:tblStyle w:val="TableGrid"/>
        <w:tblW w:w="8931" w:type="dxa"/>
        <w:tblInd w:w="-5" w:type="dxa"/>
        <w:tblLook w:val="04A0" w:firstRow="1" w:lastRow="0" w:firstColumn="1" w:lastColumn="0" w:noHBand="0" w:noVBand="1"/>
      </w:tblPr>
      <w:tblGrid>
        <w:gridCol w:w="3969"/>
        <w:gridCol w:w="3402"/>
        <w:gridCol w:w="1560"/>
      </w:tblGrid>
      <w:tr w:rsidR="006B4968" w:rsidRPr="00544F53" w14:paraId="56456AE2" w14:textId="77777777" w:rsidTr="00AE5CB6">
        <w:trPr>
          <w:trHeight w:val="536"/>
        </w:trPr>
        <w:tc>
          <w:tcPr>
            <w:tcW w:w="3969" w:type="dxa"/>
            <w:shd w:val="clear" w:color="auto" w:fill="AFD7FF"/>
          </w:tcPr>
          <w:p w14:paraId="50FC39E1" w14:textId="77777777" w:rsidR="006B4968" w:rsidRPr="00544F53" w:rsidRDefault="006B4968" w:rsidP="00FC0FC5">
            <w:pPr>
              <w:spacing w:after="40"/>
              <w:rPr>
                <w:b/>
                <w:sz w:val="22"/>
              </w:rPr>
            </w:pPr>
            <w:r w:rsidRPr="00544F53">
              <w:rPr>
                <w:b/>
                <w:sz w:val="22"/>
              </w:rPr>
              <w:t xml:space="preserve">Action </w:t>
            </w:r>
          </w:p>
        </w:tc>
        <w:tc>
          <w:tcPr>
            <w:tcW w:w="3402" w:type="dxa"/>
            <w:shd w:val="clear" w:color="auto" w:fill="AFD7FF"/>
          </w:tcPr>
          <w:p w14:paraId="77453FE8" w14:textId="77777777" w:rsidR="006B4968" w:rsidRPr="00544F53" w:rsidRDefault="006B4968" w:rsidP="00FC0FC5">
            <w:pPr>
              <w:spacing w:after="40"/>
              <w:rPr>
                <w:b/>
                <w:sz w:val="22"/>
              </w:rPr>
            </w:pPr>
            <w:r w:rsidRPr="00544F53">
              <w:rPr>
                <w:b/>
                <w:sz w:val="22"/>
              </w:rPr>
              <w:t>Objective/example of achievement</w:t>
            </w:r>
          </w:p>
        </w:tc>
        <w:tc>
          <w:tcPr>
            <w:tcW w:w="1560" w:type="dxa"/>
            <w:shd w:val="clear" w:color="auto" w:fill="AFD7FF"/>
          </w:tcPr>
          <w:p w14:paraId="36B198F3" w14:textId="62BF7856" w:rsidR="006B4968" w:rsidRPr="00544F53" w:rsidRDefault="006B4968" w:rsidP="00FC0FC5">
            <w:pPr>
              <w:spacing w:after="40"/>
              <w:rPr>
                <w:b/>
                <w:sz w:val="22"/>
              </w:rPr>
            </w:pPr>
            <w:r w:rsidRPr="00544F53">
              <w:rPr>
                <w:b/>
                <w:sz w:val="22"/>
              </w:rPr>
              <w:t xml:space="preserve">Time frame </w:t>
            </w:r>
          </w:p>
        </w:tc>
      </w:tr>
      <w:tr w:rsidR="006B4968" w:rsidRPr="00E54540" w14:paraId="27CED585" w14:textId="77777777" w:rsidTr="00FC0FC5">
        <w:tc>
          <w:tcPr>
            <w:tcW w:w="3969" w:type="dxa"/>
          </w:tcPr>
          <w:p w14:paraId="41B515DD" w14:textId="223A1B26" w:rsidR="006B4968" w:rsidRDefault="009E5A6D" w:rsidP="009E5A6D">
            <w:pPr>
              <w:spacing w:after="120"/>
              <w:rPr>
                <w:sz w:val="22"/>
              </w:rPr>
            </w:pPr>
            <w:r w:rsidRPr="009E5A6D">
              <w:rPr>
                <w:sz w:val="22"/>
              </w:rPr>
              <w:t>Promote</w:t>
            </w:r>
            <w:r>
              <w:rPr>
                <w:sz w:val="22"/>
              </w:rPr>
              <w:t xml:space="preserve"> </w:t>
            </w:r>
            <w:r w:rsidRPr="009E5A6D">
              <w:rPr>
                <w:sz w:val="22"/>
              </w:rPr>
              <w:t>access to accurate, objective, unbiased, user-friendly and scientifically up-to-date information relevant to patients’ needs, on all aspects of health from promotion and prevention to disease management and therapeutic options</w:t>
            </w:r>
            <w:r>
              <w:rPr>
                <w:sz w:val="22"/>
              </w:rPr>
              <w:t xml:space="preserve"> based on patients’ identified needs and preferences. </w:t>
            </w:r>
          </w:p>
        </w:tc>
        <w:tc>
          <w:tcPr>
            <w:tcW w:w="3402" w:type="dxa"/>
          </w:tcPr>
          <w:p w14:paraId="5B14A0FE" w14:textId="77777777" w:rsidR="006B4968" w:rsidRPr="00BB2456" w:rsidRDefault="006B4968" w:rsidP="00BB2456">
            <w:pPr>
              <w:spacing w:after="120"/>
              <w:rPr>
                <w:sz w:val="22"/>
              </w:rPr>
            </w:pPr>
          </w:p>
        </w:tc>
        <w:tc>
          <w:tcPr>
            <w:tcW w:w="1560" w:type="dxa"/>
          </w:tcPr>
          <w:p w14:paraId="417104B8" w14:textId="1D78CD65" w:rsidR="006B4968" w:rsidRDefault="006B4968" w:rsidP="00BB2456">
            <w:pPr>
              <w:spacing w:after="120"/>
              <w:rPr>
                <w:sz w:val="22"/>
              </w:rPr>
            </w:pPr>
          </w:p>
        </w:tc>
      </w:tr>
      <w:tr w:rsidR="006B4968" w:rsidRPr="00E54540" w14:paraId="239EF739" w14:textId="77777777" w:rsidTr="00C3524D">
        <w:tc>
          <w:tcPr>
            <w:tcW w:w="3969" w:type="dxa"/>
            <w:shd w:val="clear" w:color="auto" w:fill="DDEEFF"/>
          </w:tcPr>
          <w:p w14:paraId="5662CC96" w14:textId="0439BEFC" w:rsidR="006B4968" w:rsidRDefault="006B4968" w:rsidP="00BB2456">
            <w:pPr>
              <w:spacing w:after="120"/>
              <w:rPr>
                <w:sz w:val="22"/>
              </w:rPr>
            </w:pPr>
            <w:r>
              <w:rPr>
                <w:sz w:val="22"/>
              </w:rPr>
              <w:t>Existing core quality criteria for information to patients should be applied at all levels.</w:t>
            </w:r>
          </w:p>
        </w:tc>
        <w:tc>
          <w:tcPr>
            <w:tcW w:w="3402" w:type="dxa"/>
            <w:shd w:val="clear" w:color="auto" w:fill="DDEEFF"/>
          </w:tcPr>
          <w:p w14:paraId="274F89F5" w14:textId="77777777" w:rsidR="006B4968" w:rsidRPr="00BB2456" w:rsidRDefault="006B4968" w:rsidP="00BB2456">
            <w:pPr>
              <w:spacing w:after="120"/>
              <w:rPr>
                <w:sz w:val="22"/>
              </w:rPr>
            </w:pPr>
          </w:p>
        </w:tc>
        <w:tc>
          <w:tcPr>
            <w:tcW w:w="1560" w:type="dxa"/>
            <w:shd w:val="clear" w:color="auto" w:fill="DDEEFF"/>
          </w:tcPr>
          <w:p w14:paraId="316C5253" w14:textId="56CD9E83" w:rsidR="006B4968" w:rsidRDefault="009E5A6D" w:rsidP="00BB2456">
            <w:pPr>
              <w:spacing w:after="120"/>
              <w:rPr>
                <w:sz w:val="22"/>
              </w:rPr>
            </w:pPr>
            <w:r>
              <w:rPr>
                <w:sz w:val="22"/>
              </w:rPr>
              <w:t xml:space="preserve">Short </w:t>
            </w:r>
          </w:p>
        </w:tc>
      </w:tr>
      <w:tr w:rsidR="006B4968" w:rsidRPr="00E54540" w14:paraId="54F4EDAD" w14:textId="77777777" w:rsidTr="00FC0FC5">
        <w:tc>
          <w:tcPr>
            <w:tcW w:w="3969" w:type="dxa"/>
          </w:tcPr>
          <w:p w14:paraId="5F64528D" w14:textId="77777777" w:rsidR="006B4968" w:rsidRPr="008E38A5" w:rsidRDefault="006B4968" w:rsidP="00FC0FC5">
            <w:pPr>
              <w:spacing w:after="120"/>
              <w:rPr>
                <w:sz w:val="22"/>
              </w:rPr>
            </w:pPr>
            <w:r>
              <w:rPr>
                <w:sz w:val="22"/>
              </w:rPr>
              <w:lastRenderedPageBreak/>
              <w:t>Support the visibility and accessibility of good quality online health-related information.</w:t>
            </w:r>
          </w:p>
        </w:tc>
        <w:tc>
          <w:tcPr>
            <w:tcW w:w="3402" w:type="dxa"/>
          </w:tcPr>
          <w:p w14:paraId="26BFCF2E" w14:textId="77777777" w:rsidR="006B4968" w:rsidRPr="00E54540" w:rsidRDefault="006B4968" w:rsidP="00FC0FC5">
            <w:pPr>
              <w:spacing w:after="120"/>
              <w:rPr>
                <w:sz w:val="22"/>
              </w:rPr>
            </w:pPr>
            <w:r w:rsidRPr="00BB2456">
              <w:rPr>
                <w:sz w:val="22"/>
              </w:rPr>
              <w:t>“Quality seal” for online information resources</w:t>
            </w:r>
            <w:r>
              <w:rPr>
                <w:sz w:val="22"/>
              </w:rPr>
              <w:t>, based on core quality principles.</w:t>
            </w:r>
          </w:p>
        </w:tc>
        <w:tc>
          <w:tcPr>
            <w:tcW w:w="1560" w:type="dxa"/>
          </w:tcPr>
          <w:p w14:paraId="277BD707" w14:textId="77777777" w:rsidR="006B4968" w:rsidRDefault="006B4968" w:rsidP="00FC0FC5">
            <w:pPr>
              <w:spacing w:after="120"/>
              <w:rPr>
                <w:sz w:val="22"/>
              </w:rPr>
            </w:pPr>
            <w:r>
              <w:rPr>
                <w:sz w:val="22"/>
              </w:rPr>
              <w:t>Medium</w:t>
            </w:r>
          </w:p>
        </w:tc>
      </w:tr>
      <w:tr w:rsidR="006B4968" w:rsidRPr="00E54540" w14:paraId="72A4D0C4" w14:textId="77777777" w:rsidTr="00C3524D">
        <w:tc>
          <w:tcPr>
            <w:tcW w:w="3969" w:type="dxa"/>
            <w:shd w:val="clear" w:color="auto" w:fill="DDEEFF"/>
          </w:tcPr>
          <w:p w14:paraId="13BBC560" w14:textId="2D8D3525" w:rsidR="006B4968" w:rsidRDefault="006B4968" w:rsidP="00B435E2">
            <w:pPr>
              <w:spacing w:after="120"/>
              <w:rPr>
                <w:sz w:val="22"/>
              </w:rPr>
            </w:pPr>
            <w:r>
              <w:rPr>
                <w:sz w:val="22"/>
              </w:rPr>
              <w:t xml:space="preserve">Review and evaluation of all existing EU legislation and non-legislative frameworks pertaining to information to patients. </w:t>
            </w:r>
          </w:p>
        </w:tc>
        <w:tc>
          <w:tcPr>
            <w:tcW w:w="3402" w:type="dxa"/>
            <w:shd w:val="clear" w:color="auto" w:fill="DDEEFF"/>
          </w:tcPr>
          <w:p w14:paraId="258FA315" w14:textId="38FADE64" w:rsidR="006B4968" w:rsidRPr="00BB2456" w:rsidRDefault="006B4968" w:rsidP="00BB2456">
            <w:pPr>
              <w:spacing w:after="120"/>
              <w:rPr>
                <w:sz w:val="22"/>
              </w:rPr>
            </w:pPr>
            <w:r>
              <w:rPr>
                <w:sz w:val="22"/>
              </w:rPr>
              <w:t>An analysis of existing frameworks and gaps, as well as existing resources.</w:t>
            </w:r>
          </w:p>
        </w:tc>
        <w:tc>
          <w:tcPr>
            <w:tcW w:w="1560" w:type="dxa"/>
            <w:shd w:val="clear" w:color="auto" w:fill="DDEEFF"/>
          </w:tcPr>
          <w:p w14:paraId="127020BE" w14:textId="7963DAE2" w:rsidR="006B4968" w:rsidRDefault="006B4968" w:rsidP="00BB2456">
            <w:pPr>
              <w:spacing w:after="120"/>
              <w:rPr>
                <w:sz w:val="22"/>
              </w:rPr>
            </w:pPr>
            <w:r>
              <w:rPr>
                <w:sz w:val="22"/>
              </w:rPr>
              <w:t>Short - medium</w:t>
            </w:r>
          </w:p>
        </w:tc>
      </w:tr>
      <w:tr w:rsidR="006B4968" w:rsidRPr="00E54540" w14:paraId="6B2486DD" w14:textId="77777777" w:rsidTr="00FC0FC5">
        <w:tc>
          <w:tcPr>
            <w:tcW w:w="3969" w:type="dxa"/>
          </w:tcPr>
          <w:p w14:paraId="580AB537" w14:textId="4EFD14BF" w:rsidR="006B4968" w:rsidRDefault="006B4968" w:rsidP="00B435E2">
            <w:pPr>
              <w:spacing w:after="120"/>
              <w:rPr>
                <w:sz w:val="22"/>
              </w:rPr>
            </w:pPr>
            <w:r>
              <w:rPr>
                <w:sz w:val="22"/>
              </w:rPr>
              <w:t xml:space="preserve">Collection of good practices and examples of application of health literacy principles, especially for making the healthcare system organisations more easily navigable and understandable and including strategies for people with low health literacy. </w:t>
            </w:r>
          </w:p>
        </w:tc>
        <w:tc>
          <w:tcPr>
            <w:tcW w:w="3402" w:type="dxa"/>
          </w:tcPr>
          <w:p w14:paraId="2DD6F4D8" w14:textId="15117B8E" w:rsidR="006B4968" w:rsidRDefault="006B4968" w:rsidP="00B435E2">
            <w:pPr>
              <w:rPr>
                <w:sz w:val="22"/>
              </w:rPr>
            </w:pPr>
            <w:r>
              <w:rPr>
                <w:sz w:val="22"/>
              </w:rPr>
              <w:t>These could be included as part of the repository of good practices on patient empowerment.</w:t>
            </w:r>
          </w:p>
        </w:tc>
        <w:tc>
          <w:tcPr>
            <w:tcW w:w="1560" w:type="dxa"/>
          </w:tcPr>
          <w:p w14:paraId="2A7BD198" w14:textId="79DB164C" w:rsidR="006B4968" w:rsidRDefault="006B4968" w:rsidP="00BB2456">
            <w:pPr>
              <w:rPr>
                <w:sz w:val="22"/>
              </w:rPr>
            </w:pPr>
            <w:r>
              <w:rPr>
                <w:sz w:val="22"/>
              </w:rPr>
              <w:t>Medium</w:t>
            </w:r>
          </w:p>
        </w:tc>
      </w:tr>
      <w:tr w:rsidR="006B4968" w:rsidRPr="00E54540" w14:paraId="1061CDD8" w14:textId="77777777" w:rsidTr="00C3524D">
        <w:tc>
          <w:tcPr>
            <w:tcW w:w="3969" w:type="dxa"/>
            <w:shd w:val="clear" w:color="auto" w:fill="DDEEFF"/>
          </w:tcPr>
          <w:p w14:paraId="59EAEF34" w14:textId="5F347071" w:rsidR="006B4968" w:rsidRDefault="006B4968" w:rsidP="00B435E2">
            <w:pPr>
              <w:spacing w:after="120"/>
              <w:rPr>
                <w:sz w:val="22"/>
              </w:rPr>
            </w:pPr>
            <w:r w:rsidRPr="00B435E2">
              <w:rPr>
                <w:sz w:val="22"/>
              </w:rPr>
              <w:t>Patients’ free access to their own health records should be implemented across the EU</w:t>
            </w:r>
            <w:r>
              <w:rPr>
                <w:sz w:val="22"/>
              </w:rPr>
              <w:t>.</w:t>
            </w:r>
          </w:p>
        </w:tc>
        <w:tc>
          <w:tcPr>
            <w:tcW w:w="3402" w:type="dxa"/>
            <w:shd w:val="clear" w:color="auto" w:fill="DDEEFF"/>
          </w:tcPr>
          <w:p w14:paraId="24E77A95" w14:textId="667E3E27" w:rsidR="006B4968" w:rsidRDefault="006B4968" w:rsidP="00B435E2">
            <w:pPr>
              <w:spacing w:after="120"/>
              <w:rPr>
                <w:sz w:val="22"/>
              </w:rPr>
            </w:pPr>
            <w:r>
              <w:rPr>
                <w:sz w:val="22"/>
              </w:rPr>
              <w:t xml:space="preserve">Monitoring of patients’ right to access their health records to be included as part of monitoring of the implementation of the EU cross-border healthcare directive. </w:t>
            </w:r>
          </w:p>
        </w:tc>
        <w:tc>
          <w:tcPr>
            <w:tcW w:w="1560" w:type="dxa"/>
            <w:shd w:val="clear" w:color="auto" w:fill="DDEEFF"/>
          </w:tcPr>
          <w:p w14:paraId="5F5664B1" w14:textId="46099D0F" w:rsidR="006B4968" w:rsidRDefault="006B4968" w:rsidP="00BB2456">
            <w:pPr>
              <w:rPr>
                <w:sz w:val="22"/>
              </w:rPr>
            </w:pPr>
            <w:r>
              <w:rPr>
                <w:sz w:val="22"/>
              </w:rPr>
              <w:t>Medium</w:t>
            </w:r>
          </w:p>
        </w:tc>
      </w:tr>
      <w:tr w:rsidR="006B4968" w:rsidRPr="00E54540" w14:paraId="408BC0FC" w14:textId="77777777" w:rsidTr="00FC0FC5">
        <w:tc>
          <w:tcPr>
            <w:tcW w:w="3969" w:type="dxa"/>
          </w:tcPr>
          <w:p w14:paraId="27936BA8" w14:textId="32F6EFB2" w:rsidR="006B4968" w:rsidRDefault="006B4968" w:rsidP="00B435E2">
            <w:pPr>
              <w:rPr>
                <w:sz w:val="22"/>
              </w:rPr>
            </w:pPr>
            <w:r>
              <w:rPr>
                <w:sz w:val="22"/>
              </w:rPr>
              <w:t>Regulatory information on medicines, including their benefits and risks, to be available in simple language and lay-friendly format.</w:t>
            </w:r>
          </w:p>
        </w:tc>
        <w:tc>
          <w:tcPr>
            <w:tcW w:w="3402" w:type="dxa"/>
          </w:tcPr>
          <w:p w14:paraId="5D95CF3E" w14:textId="21FE70DB" w:rsidR="006B4968" w:rsidRDefault="006B4968" w:rsidP="00B435E2">
            <w:pPr>
              <w:rPr>
                <w:sz w:val="22"/>
              </w:rPr>
            </w:pPr>
            <w:r>
              <w:rPr>
                <w:sz w:val="22"/>
              </w:rPr>
              <w:t xml:space="preserve">The European Medicines Agency to review existing guidelines for the patient information leaflet (PIL) and explore the feasibility of introducing a complementary “fact box” of concise information. </w:t>
            </w:r>
          </w:p>
        </w:tc>
        <w:tc>
          <w:tcPr>
            <w:tcW w:w="1560" w:type="dxa"/>
          </w:tcPr>
          <w:p w14:paraId="573C54BD" w14:textId="65AAADBB" w:rsidR="006B4968" w:rsidRDefault="006B4968" w:rsidP="00BB2456">
            <w:pPr>
              <w:rPr>
                <w:sz w:val="22"/>
              </w:rPr>
            </w:pPr>
            <w:r>
              <w:rPr>
                <w:sz w:val="22"/>
              </w:rPr>
              <w:t>Short – medium</w:t>
            </w:r>
          </w:p>
        </w:tc>
      </w:tr>
      <w:tr w:rsidR="006B4968" w:rsidRPr="00E54540" w14:paraId="2DB7FAA9" w14:textId="77777777" w:rsidTr="00C3524D">
        <w:tc>
          <w:tcPr>
            <w:tcW w:w="3969" w:type="dxa"/>
            <w:shd w:val="clear" w:color="auto" w:fill="DDEEFF"/>
          </w:tcPr>
          <w:p w14:paraId="6BF340FF" w14:textId="554DFF06" w:rsidR="00A56863" w:rsidRDefault="006B4968" w:rsidP="00A56863">
            <w:pPr>
              <w:rPr>
                <w:sz w:val="22"/>
              </w:rPr>
            </w:pPr>
            <w:r>
              <w:rPr>
                <w:sz w:val="22"/>
              </w:rPr>
              <w:t>Embed h</w:t>
            </w:r>
            <w:r w:rsidRPr="00C41766">
              <w:rPr>
                <w:sz w:val="22"/>
              </w:rPr>
              <w:t xml:space="preserve">ealth literacy </w:t>
            </w:r>
            <w:r>
              <w:rPr>
                <w:sz w:val="22"/>
              </w:rPr>
              <w:t xml:space="preserve">in all policies, including education, food, urban planning, social protection, and employment. </w:t>
            </w:r>
          </w:p>
        </w:tc>
        <w:tc>
          <w:tcPr>
            <w:tcW w:w="3402" w:type="dxa"/>
            <w:shd w:val="clear" w:color="auto" w:fill="DDEEFF"/>
          </w:tcPr>
          <w:p w14:paraId="7F796C99" w14:textId="68E84ABC" w:rsidR="006B4968" w:rsidRDefault="006B4968" w:rsidP="00B435E2">
            <w:pPr>
              <w:rPr>
                <w:sz w:val="22"/>
              </w:rPr>
            </w:pPr>
            <w:r>
              <w:rPr>
                <w:sz w:val="22"/>
              </w:rPr>
              <w:t>A symposium at European level</w:t>
            </w:r>
            <w:r w:rsidR="00A56863">
              <w:rPr>
                <w:sz w:val="22"/>
              </w:rPr>
              <w:t xml:space="preserve"> “health literacy in all policies”</w:t>
            </w:r>
            <w:r>
              <w:rPr>
                <w:sz w:val="22"/>
              </w:rPr>
              <w:t>?</w:t>
            </w:r>
          </w:p>
          <w:p w14:paraId="2C3D71A2" w14:textId="77777777" w:rsidR="006B4968" w:rsidRDefault="006B4968" w:rsidP="00B435E2">
            <w:pPr>
              <w:rPr>
                <w:sz w:val="22"/>
              </w:rPr>
            </w:pPr>
            <w:r>
              <w:rPr>
                <w:sz w:val="22"/>
              </w:rPr>
              <w:t xml:space="preserve">Sharing of existing tools such as the “blueprint for employers”? </w:t>
            </w:r>
          </w:p>
          <w:p w14:paraId="6E115CB0" w14:textId="4C3D0F45" w:rsidR="00A56863" w:rsidRDefault="00A56863" w:rsidP="00B435E2">
            <w:pPr>
              <w:rPr>
                <w:sz w:val="22"/>
              </w:rPr>
            </w:pPr>
            <w:r>
              <w:rPr>
                <w:sz w:val="22"/>
              </w:rPr>
              <w:t>Ideas welcome</w:t>
            </w:r>
          </w:p>
        </w:tc>
        <w:tc>
          <w:tcPr>
            <w:tcW w:w="1560" w:type="dxa"/>
            <w:shd w:val="clear" w:color="auto" w:fill="DDEEFF"/>
          </w:tcPr>
          <w:p w14:paraId="2B1DB510" w14:textId="1234E39C" w:rsidR="006B4968" w:rsidRDefault="006B4968" w:rsidP="00B443E1">
            <w:pPr>
              <w:rPr>
                <w:sz w:val="22"/>
              </w:rPr>
            </w:pPr>
            <w:r>
              <w:rPr>
                <w:sz w:val="22"/>
              </w:rPr>
              <w:t>Medium - long</w:t>
            </w:r>
          </w:p>
        </w:tc>
      </w:tr>
      <w:tr w:rsidR="00EC1F33" w:rsidRPr="00E54540" w14:paraId="3F890A20" w14:textId="77777777" w:rsidTr="00EC1F33">
        <w:tc>
          <w:tcPr>
            <w:tcW w:w="3969" w:type="dxa"/>
            <w:shd w:val="clear" w:color="auto" w:fill="auto"/>
          </w:tcPr>
          <w:p w14:paraId="2D4666D3" w14:textId="3AF439BB" w:rsidR="00EC1F33" w:rsidRDefault="00EC1F33" w:rsidP="009E5A6D">
            <w:pPr>
              <w:rPr>
                <w:sz w:val="22"/>
              </w:rPr>
            </w:pPr>
            <w:r w:rsidRPr="00EC1F33">
              <w:rPr>
                <w:sz w:val="22"/>
              </w:rPr>
              <w:t>Implement</w:t>
            </w:r>
            <w:r>
              <w:rPr>
                <w:sz w:val="22"/>
              </w:rPr>
              <w:t xml:space="preserve"> </w:t>
            </w:r>
            <w:r w:rsidRPr="00EC1F33">
              <w:rPr>
                <w:sz w:val="22"/>
              </w:rPr>
              <w:t>a</w:t>
            </w:r>
            <w:r>
              <w:rPr>
                <w:sz w:val="22"/>
              </w:rPr>
              <w:t xml:space="preserve"> </w:t>
            </w:r>
            <w:r w:rsidRPr="00EC1F33">
              <w:rPr>
                <w:sz w:val="22"/>
              </w:rPr>
              <w:t>regular</w:t>
            </w:r>
            <w:r>
              <w:rPr>
                <w:sz w:val="22"/>
              </w:rPr>
              <w:t xml:space="preserve"> </w:t>
            </w:r>
            <w:r w:rsidRPr="00EC1F33">
              <w:rPr>
                <w:sz w:val="22"/>
              </w:rPr>
              <w:t>EU</w:t>
            </w:r>
            <w:r>
              <w:rPr>
                <w:sz w:val="22"/>
              </w:rPr>
              <w:t xml:space="preserve"> </w:t>
            </w:r>
            <w:r w:rsidRPr="00EC1F33">
              <w:rPr>
                <w:sz w:val="22"/>
              </w:rPr>
              <w:t>Health</w:t>
            </w:r>
            <w:r>
              <w:rPr>
                <w:sz w:val="22"/>
              </w:rPr>
              <w:t xml:space="preserve"> </w:t>
            </w:r>
            <w:r w:rsidRPr="00EC1F33">
              <w:rPr>
                <w:sz w:val="22"/>
              </w:rPr>
              <w:t>literacy</w:t>
            </w:r>
            <w:r>
              <w:rPr>
                <w:sz w:val="22"/>
              </w:rPr>
              <w:t xml:space="preserve"> </w:t>
            </w:r>
            <w:r w:rsidRPr="00EC1F33">
              <w:rPr>
                <w:sz w:val="22"/>
              </w:rPr>
              <w:t>survey</w:t>
            </w:r>
            <w:r>
              <w:rPr>
                <w:sz w:val="22"/>
              </w:rPr>
              <w:t xml:space="preserve"> </w:t>
            </w:r>
            <w:r w:rsidRPr="00EC1F33">
              <w:rPr>
                <w:sz w:val="22"/>
              </w:rPr>
              <w:t>a</w:t>
            </w:r>
            <w:r>
              <w:rPr>
                <w:sz w:val="22"/>
              </w:rPr>
              <w:t>c</w:t>
            </w:r>
            <w:r w:rsidRPr="00EC1F33">
              <w:rPr>
                <w:sz w:val="22"/>
              </w:rPr>
              <w:t>ross</w:t>
            </w:r>
            <w:r>
              <w:rPr>
                <w:sz w:val="22"/>
              </w:rPr>
              <w:t xml:space="preserve"> </w:t>
            </w:r>
            <w:r w:rsidRPr="00EC1F33">
              <w:rPr>
                <w:sz w:val="22"/>
              </w:rPr>
              <w:t>all</w:t>
            </w:r>
            <w:r>
              <w:rPr>
                <w:sz w:val="22"/>
              </w:rPr>
              <w:t xml:space="preserve"> </w:t>
            </w:r>
            <w:r w:rsidRPr="00EC1F33">
              <w:rPr>
                <w:sz w:val="22"/>
              </w:rPr>
              <w:t>EU</w:t>
            </w:r>
            <w:r>
              <w:rPr>
                <w:sz w:val="22"/>
              </w:rPr>
              <w:t xml:space="preserve"> </w:t>
            </w:r>
            <w:r w:rsidRPr="00EC1F33">
              <w:rPr>
                <w:sz w:val="22"/>
              </w:rPr>
              <w:t>Member</w:t>
            </w:r>
            <w:r>
              <w:rPr>
                <w:sz w:val="22"/>
              </w:rPr>
              <w:t xml:space="preserve"> </w:t>
            </w:r>
            <w:r w:rsidRPr="00EC1F33">
              <w:rPr>
                <w:sz w:val="22"/>
              </w:rPr>
              <w:t>States</w:t>
            </w:r>
            <w:r>
              <w:rPr>
                <w:sz w:val="22"/>
              </w:rPr>
              <w:t xml:space="preserve"> </w:t>
            </w:r>
            <w:r w:rsidRPr="00EC1F33">
              <w:rPr>
                <w:sz w:val="22"/>
              </w:rPr>
              <w:t>to</w:t>
            </w:r>
            <w:r>
              <w:rPr>
                <w:sz w:val="22"/>
              </w:rPr>
              <w:t xml:space="preserve"> </w:t>
            </w:r>
            <w:r w:rsidRPr="00EC1F33">
              <w:rPr>
                <w:sz w:val="22"/>
              </w:rPr>
              <w:t>collect</w:t>
            </w:r>
            <w:r>
              <w:rPr>
                <w:sz w:val="22"/>
              </w:rPr>
              <w:t xml:space="preserve"> </w:t>
            </w:r>
            <w:r w:rsidRPr="00EC1F33">
              <w:rPr>
                <w:sz w:val="22"/>
              </w:rPr>
              <w:t>comparative</w:t>
            </w:r>
            <w:r>
              <w:rPr>
                <w:sz w:val="22"/>
              </w:rPr>
              <w:t xml:space="preserve"> </w:t>
            </w:r>
            <w:r w:rsidRPr="00EC1F33">
              <w:rPr>
                <w:sz w:val="22"/>
              </w:rPr>
              <w:t>data</w:t>
            </w:r>
            <w:r w:rsidR="009E5A6D">
              <w:rPr>
                <w:sz w:val="22"/>
              </w:rPr>
              <w:t xml:space="preserve"> and monitor changes over time. </w:t>
            </w:r>
          </w:p>
        </w:tc>
        <w:tc>
          <w:tcPr>
            <w:tcW w:w="3402" w:type="dxa"/>
            <w:shd w:val="clear" w:color="auto" w:fill="auto"/>
          </w:tcPr>
          <w:p w14:paraId="00E37317" w14:textId="10654A5D" w:rsidR="00EC1F33" w:rsidRDefault="00EC1F33" w:rsidP="009E5A6D">
            <w:pPr>
              <w:rPr>
                <w:sz w:val="22"/>
              </w:rPr>
            </w:pPr>
            <w:r>
              <w:rPr>
                <w:sz w:val="22"/>
              </w:rPr>
              <w:t xml:space="preserve">European Commission / </w:t>
            </w:r>
            <w:r w:rsidR="009E5A6D">
              <w:rPr>
                <w:sz w:val="22"/>
              </w:rPr>
              <w:t>E</w:t>
            </w:r>
            <w:r>
              <w:rPr>
                <w:sz w:val="22"/>
              </w:rPr>
              <w:t>urobarometer</w:t>
            </w:r>
            <w:r w:rsidR="009E5A6D">
              <w:rPr>
                <w:sz w:val="22"/>
              </w:rPr>
              <w:t xml:space="preserve"> </w:t>
            </w:r>
            <w:r w:rsidR="009E5A6D" w:rsidRPr="00EC1F33">
              <w:rPr>
                <w:sz w:val="22"/>
              </w:rPr>
              <w:t>based</w:t>
            </w:r>
            <w:r w:rsidR="009E5A6D">
              <w:rPr>
                <w:sz w:val="22"/>
              </w:rPr>
              <w:t xml:space="preserve"> </w:t>
            </w:r>
            <w:r w:rsidR="009E5A6D" w:rsidRPr="00EC1F33">
              <w:rPr>
                <w:sz w:val="22"/>
              </w:rPr>
              <w:t>on</w:t>
            </w:r>
            <w:r w:rsidR="009E5A6D">
              <w:rPr>
                <w:sz w:val="22"/>
              </w:rPr>
              <w:t xml:space="preserve"> </w:t>
            </w:r>
            <w:r w:rsidR="009E5A6D" w:rsidRPr="00EC1F33">
              <w:rPr>
                <w:sz w:val="22"/>
              </w:rPr>
              <w:t>the</w:t>
            </w:r>
            <w:r w:rsidR="009E5A6D">
              <w:rPr>
                <w:sz w:val="22"/>
              </w:rPr>
              <w:t xml:space="preserve"> </w:t>
            </w:r>
            <w:r w:rsidR="009E5A6D" w:rsidRPr="00EC1F33">
              <w:rPr>
                <w:sz w:val="22"/>
              </w:rPr>
              <w:t>validated</w:t>
            </w:r>
            <w:r w:rsidR="009E5A6D">
              <w:rPr>
                <w:sz w:val="22"/>
              </w:rPr>
              <w:t xml:space="preserve"> instrument from the </w:t>
            </w:r>
            <w:r w:rsidR="009E5A6D" w:rsidRPr="00EC1F33">
              <w:rPr>
                <w:sz w:val="22"/>
              </w:rPr>
              <w:t>EU</w:t>
            </w:r>
            <w:r w:rsidR="009E5A6D">
              <w:rPr>
                <w:sz w:val="22"/>
              </w:rPr>
              <w:t xml:space="preserve"> </w:t>
            </w:r>
            <w:r w:rsidR="009E5A6D" w:rsidRPr="00EC1F33">
              <w:rPr>
                <w:sz w:val="22"/>
              </w:rPr>
              <w:t>Health</w:t>
            </w:r>
            <w:r w:rsidR="009E5A6D">
              <w:rPr>
                <w:sz w:val="22"/>
              </w:rPr>
              <w:t xml:space="preserve"> </w:t>
            </w:r>
            <w:r w:rsidR="009E5A6D" w:rsidRPr="00EC1F33">
              <w:rPr>
                <w:sz w:val="22"/>
              </w:rPr>
              <w:t>Literacy</w:t>
            </w:r>
            <w:r w:rsidR="009E5A6D">
              <w:rPr>
                <w:sz w:val="22"/>
              </w:rPr>
              <w:t xml:space="preserve"> </w:t>
            </w:r>
            <w:r w:rsidR="009E5A6D" w:rsidRPr="00EC1F33">
              <w:rPr>
                <w:sz w:val="22"/>
              </w:rPr>
              <w:t>Survey</w:t>
            </w:r>
            <w:r w:rsidR="009E5A6D">
              <w:rPr>
                <w:sz w:val="22"/>
              </w:rPr>
              <w:t xml:space="preserve"> </w:t>
            </w:r>
            <w:r w:rsidR="009E5A6D" w:rsidRPr="00EC1F33">
              <w:rPr>
                <w:sz w:val="22"/>
              </w:rPr>
              <w:t>(HLS)</w:t>
            </w:r>
            <w:r w:rsidR="009E5A6D">
              <w:rPr>
                <w:sz w:val="22"/>
              </w:rPr>
              <w:t>.</w:t>
            </w:r>
          </w:p>
        </w:tc>
        <w:tc>
          <w:tcPr>
            <w:tcW w:w="1560" w:type="dxa"/>
            <w:shd w:val="clear" w:color="auto" w:fill="auto"/>
          </w:tcPr>
          <w:p w14:paraId="30C2E2F1" w14:textId="494F9629" w:rsidR="00EC1F33" w:rsidRDefault="009E5A6D" w:rsidP="00B443E1">
            <w:pPr>
              <w:rPr>
                <w:sz w:val="22"/>
              </w:rPr>
            </w:pPr>
            <w:r>
              <w:rPr>
                <w:sz w:val="22"/>
              </w:rPr>
              <w:t>Short-long</w:t>
            </w:r>
          </w:p>
        </w:tc>
      </w:tr>
    </w:tbl>
    <w:p w14:paraId="7E9BF2CC" w14:textId="77777777" w:rsidR="006B4968" w:rsidRDefault="006B4968" w:rsidP="00E54540">
      <w:pPr>
        <w:pStyle w:val="Heading2"/>
        <w:spacing w:before="0" w:after="120" w:line="240" w:lineRule="auto"/>
        <w:ind w:left="142"/>
        <w:rPr>
          <w:color w:val="1F3864" w:themeColor="accent5" w:themeShade="80"/>
          <w:sz w:val="28"/>
        </w:rPr>
      </w:pPr>
      <w:r>
        <w:rPr>
          <w:color w:val="1F3864" w:themeColor="accent5" w:themeShade="80"/>
          <w:sz w:val="28"/>
        </w:rPr>
        <w:br w:type="page"/>
      </w:r>
    </w:p>
    <w:p w14:paraId="3FBE7558" w14:textId="5DF1FF30" w:rsidR="006B4968" w:rsidRPr="00D35C3C" w:rsidRDefault="006B4968" w:rsidP="00D35C3C">
      <w:pPr>
        <w:pStyle w:val="Heading2"/>
        <w:spacing w:before="0" w:after="240" w:line="240" w:lineRule="auto"/>
        <w:rPr>
          <w:sz w:val="32"/>
        </w:rPr>
      </w:pPr>
      <w:bookmarkStart w:id="5" w:name="_Toc447113218"/>
      <w:r w:rsidRPr="00D35C3C">
        <w:rPr>
          <w:sz w:val="32"/>
        </w:rPr>
        <w:lastRenderedPageBreak/>
        <w:t xml:space="preserve">Priority area 3: </w:t>
      </w:r>
      <w:r>
        <w:rPr>
          <w:sz w:val="32"/>
        </w:rPr>
        <w:t xml:space="preserve"> S</w:t>
      </w:r>
      <w:r w:rsidRPr="00D35C3C">
        <w:rPr>
          <w:sz w:val="32"/>
        </w:rPr>
        <w:t xml:space="preserve">upporting </w:t>
      </w:r>
      <w:r>
        <w:rPr>
          <w:sz w:val="32"/>
        </w:rPr>
        <w:t>shared decision-making</w:t>
      </w:r>
      <w:bookmarkEnd w:id="5"/>
      <w:r>
        <w:rPr>
          <w:sz w:val="32"/>
        </w:rPr>
        <w:t xml:space="preserve"> </w:t>
      </w:r>
    </w:p>
    <w:p w14:paraId="2BACD21A" w14:textId="57A85892" w:rsidR="006B4968" w:rsidRDefault="006B4968" w:rsidP="00F7422F">
      <w:pPr>
        <w:pStyle w:val="ListParagraph"/>
        <w:ind w:left="0"/>
        <w:contextualSpacing w:val="0"/>
        <w:jc w:val="both"/>
      </w:pPr>
      <w:r>
        <w:t xml:space="preserve">Shared decision-making is an intrinsic part of patient empowerment. To become engaged in managing their health, </w:t>
      </w:r>
      <w:r w:rsidRPr="00F7422F">
        <w:t xml:space="preserve">patients need to </w:t>
      </w:r>
      <w:r>
        <w:t xml:space="preserve">be </w:t>
      </w:r>
      <w:r w:rsidRPr="00F7422F">
        <w:t xml:space="preserve">empowered to make decisions about their </w:t>
      </w:r>
      <w:r>
        <w:t xml:space="preserve">care </w:t>
      </w:r>
      <w:r w:rsidRPr="00F7422F">
        <w:t>in</w:t>
      </w:r>
      <w:r>
        <w:t xml:space="preserve"> partnership </w:t>
      </w:r>
      <w:r w:rsidRPr="00F7422F">
        <w:t xml:space="preserve">with the </w:t>
      </w:r>
      <w:r>
        <w:t>(team of) healthcare professionals.</w:t>
      </w:r>
      <w:r w:rsidRPr="00F7422F">
        <w:t xml:space="preserve">  </w:t>
      </w:r>
      <w:r>
        <w:t xml:space="preserve">The EMPATHIE study shows that the </w:t>
      </w:r>
      <w:r w:rsidRPr="00F7422F">
        <w:t xml:space="preserve">skills, knowledge and importantly attitudes held by professionals are key factor in this. Shared decision-making is </w:t>
      </w:r>
      <w:r>
        <w:t xml:space="preserve">also </w:t>
      </w:r>
      <w:r w:rsidRPr="00F7422F">
        <w:t xml:space="preserve">the least researched area </w:t>
      </w:r>
      <w:r>
        <w:t>of</w:t>
      </w:r>
      <w:r w:rsidRPr="00F7422F">
        <w:t xml:space="preserve"> patient empowerment.</w:t>
      </w:r>
    </w:p>
    <w:p w14:paraId="2F82AC49" w14:textId="77777777" w:rsidR="006B4968" w:rsidRPr="009C75BF" w:rsidRDefault="006B4968" w:rsidP="00BC580D">
      <w:pPr>
        <w:pStyle w:val="ListParagraph"/>
        <w:ind w:left="0"/>
        <w:contextualSpacing w:val="0"/>
        <w:jc w:val="both"/>
      </w:pPr>
      <w:r w:rsidRPr="009C75BF">
        <w:t xml:space="preserve">Future training will need to </w:t>
      </w:r>
      <w:r>
        <w:t xml:space="preserve">be adapted to </w:t>
      </w:r>
      <w:r w:rsidRPr="009C75BF">
        <w:t>patient-centred, integrated chronic disease management</w:t>
      </w:r>
      <w:r>
        <w:t xml:space="preserve"> models, but </w:t>
      </w:r>
      <w:r w:rsidRPr="009C75BF">
        <w:t xml:space="preserve">currently practising professionals’ attitudes and skills may also need </w:t>
      </w:r>
      <w:r>
        <w:t>updating</w:t>
      </w:r>
      <w:r w:rsidRPr="009C75BF">
        <w:t xml:space="preserve">. </w:t>
      </w:r>
      <w:r>
        <w:t xml:space="preserve">At the same time, we recognise that the </w:t>
      </w:r>
      <w:r w:rsidRPr="009C75BF">
        <w:t>working environment</w:t>
      </w:r>
      <w:r>
        <w:t xml:space="preserve"> sometimes does not encourage health professionals to engage with patients meaningfully </w:t>
      </w:r>
      <w:r w:rsidRPr="009C75BF">
        <w:t xml:space="preserve">(e.g. due to </w:t>
      </w:r>
      <w:r>
        <w:t xml:space="preserve">pressures </w:t>
      </w:r>
      <w:r w:rsidRPr="009C75BF">
        <w:t>of</w:t>
      </w:r>
      <w:r>
        <w:t xml:space="preserve"> time or workforce </w:t>
      </w:r>
      <w:r w:rsidRPr="009C75BF">
        <w:t xml:space="preserve">shortages). </w:t>
      </w:r>
    </w:p>
    <w:p w14:paraId="1781B85C" w14:textId="77777777" w:rsidR="006B4968" w:rsidRDefault="006B4968" w:rsidP="00BC580D">
      <w:pPr>
        <w:pStyle w:val="ListParagraph"/>
        <w:ind w:left="0"/>
        <w:contextualSpacing w:val="0"/>
        <w:jc w:val="both"/>
      </w:pPr>
      <w:r w:rsidRPr="009C75BF">
        <w:t>Patient-centred skills such as shared decision-making, listening, supportive and effective communication, empathy and partnership are “soft skills” that are not specific to any medical condition. New roles and skills may also need to be developed based on patients’ expressed needs, values and preferences; such as care co-ordination</w:t>
      </w:r>
      <w:r>
        <w:t>, coaching,</w:t>
      </w:r>
      <w:r w:rsidRPr="009C75BF">
        <w:t xml:space="preserve"> or patient advocacy. </w:t>
      </w:r>
    </w:p>
    <w:p w14:paraId="444C7F99" w14:textId="24B75F4E" w:rsidR="006B4968" w:rsidRPr="009C75BF" w:rsidRDefault="006B4968" w:rsidP="00F7422F">
      <w:pPr>
        <w:pStyle w:val="ListParagraph"/>
        <w:ind w:left="0"/>
        <w:contextualSpacing w:val="0"/>
        <w:jc w:val="both"/>
      </w:pPr>
      <w:r w:rsidRPr="009C75BF">
        <w:t xml:space="preserve">The Expert Panel on Effective Ways of Investing in Health (EXPH) in its recent report </w:t>
      </w:r>
      <w:r>
        <w:t xml:space="preserve">made </w:t>
      </w:r>
      <w:r w:rsidRPr="009C75BF">
        <w:t>a high-priority recommendation “to promote the training of health professionals in their new role of ‘trainers’ for patients with chronic conditions and in addition develop ways, means, time and motivation for professionals to learn better communication skills to engage and involve patients in their care.”</w:t>
      </w:r>
      <w:r w:rsidRPr="009C75BF">
        <w:rPr>
          <w:rStyle w:val="EndnoteReference"/>
        </w:rPr>
        <w:endnoteReference w:id="19"/>
      </w:r>
      <w:r>
        <w:t xml:space="preserve"> </w:t>
      </w:r>
      <w:r w:rsidRPr="009C75BF">
        <w:t xml:space="preserve">Patients should be much more involved in professional training and the development of curricula than they are now. </w:t>
      </w:r>
    </w:p>
    <w:p w14:paraId="1F065F1A" w14:textId="3672E652" w:rsidR="006B4968" w:rsidRPr="009C75BF" w:rsidRDefault="006B4968" w:rsidP="00BC580D">
      <w:pPr>
        <w:pStyle w:val="ListParagraph"/>
        <w:spacing w:after="240"/>
        <w:ind w:left="0"/>
        <w:contextualSpacing w:val="0"/>
        <w:jc w:val="both"/>
      </w:pPr>
      <w:r w:rsidRPr="009C75BF">
        <w:t xml:space="preserve">There are </w:t>
      </w:r>
      <w:r>
        <w:t xml:space="preserve">a number of </w:t>
      </w:r>
      <w:r w:rsidRPr="009C75BF">
        <w:t xml:space="preserve">existing frameworks at EU level </w:t>
      </w:r>
      <w:r>
        <w:t>where specific actions could be situated to support national policy, such as</w:t>
      </w:r>
      <w:r w:rsidRPr="009C75BF">
        <w:t xml:space="preserve"> the EU Action Plan on the Health Workforce and the European Commission’s Expert Group; and </w:t>
      </w:r>
      <w:r>
        <w:t>the</w:t>
      </w:r>
      <w:r w:rsidRPr="009C75BF">
        <w:t xml:space="preserve"> Expert Group on patient safety and quality of care.</w:t>
      </w:r>
    </w:p>
    <w:tbl>
      <w:tblPr>
        <w:tblStyle w:val="TableGrid"/>
        <w:tblW w:w="8931" w:type="dxa"/>
        <w:tblInd w:w="-5" w:type="dxa"/>
        <w:tblLook w:val="04A0" w:firstRow="1" w:lastRow="0" w:firstColumn="1" w:lastColumn="0" w:noHBand="0" w:noVBand="1"/>
      </w:tblPr>
      <w:tblGrid>
        <w:gridCol w:w="3969"/>
        <w:gridCol w:w="3402"/>
        <w:gridCol w:w="1560"/>
      </w:tblGrid>
      <w:tr w:rsidR="006B4968" w:rsidRPr="00544F53" w14:paraId="62954783" w14:textId="77777777" w:rsidTr="00FC0FC5">
        <w:trPr>
          <w:trHeight w:val="536"/>
        </w:trPr>
        <w:tc>
          <w:tcPr>
            <w:tcW w:w="3969" w:type="dxa"/>
            <w:shd w:val="clear" w:color="auto" w:fill="AFD7FF"/>
          </w:tcPr>
          <w:p w14:paraId="45418089" w14:textId="77777777" w:rsidR="006B4968" w:rsidRPr="00544F53" w:rsidRDefault="006B4968" w:rsidP="00FC0FC5">
            <w:pPr>
              <w:spacing w:after="40"/>
              <w:rPr>
                <w:b/>
                <w:sz w:val="22"/>
              </w:rPr>
            </w:pPr>
            <w:r w:rsidRPr="00544F53">
              <w:rPr>
                <w:b/>
                <w:sz w:val="22"/>
              </w:rPr>
              <w:t xml:space="preserve">Action </w:t>
            </w:r>
          </w:p>
        </w:tc>
        <w:tc>
          <w:tcPr>
            <w:tcW w:w="3402" w:type="dxa"/>
            <w:shd w:val="clear" w:color="auto" w:fill="AFD7FF"/>
          </w:tcPr>
          <w:p w14:paraId="7CECEFFE" w14:textId="77777777" w:rsidR="006B4968" w:rsidRPr="00544F53" w:rsidRDefault="006B4968" w:rsidP="00FC0FC5">
            <w:pPr>
              <w:spacing w:after="40"/>
              <w:rPr>
                <w:b/>
                <w:sz w:val="22"/>
              </w:rPr>
            </w:pPr>
            <w:r w:rsidRPr="00544F53">
              <w:rPr>
                <w:b/>
                <w:sz w:val="22"/>
              </w:rPr>
              <w:t>Objective/example of achievement</w:t>
            </w:r>
          </w:p>
        </w:tc>
        <w:tc>
          <w:tcPr>
            <w:tcW w:w="1560" w:type="dxa"/>
            <w:shd w:val="clear" w:color="auto" w:fill="AFD7FF"/>
          </w:tcPr>
          <w:p w14:paraId="28BFD684" w14:textId="77777777" w:rsidR="006B4968" w:rsidRPr="00544F53" w:rsidRDefault="006B4968" w:rsidP="00FC0FC5">
            <w:pPr>
              <w:spacing w:after="40"/>
              <w:rPr>
                <w:b/>
                <w:sz w:val="22"/>
              </w:rPr>
            </w:pPr>
            <w:r w:rsidRPr="00544F53">
              <w:rPr>
                <w:b/>
                <w:sz w:val="22"/>
              </w:rPr>
              <w:t xml:space="preserve">Time frame </w:t>
            </w:r>
          </w:p>
        </w:tc>
      </w:tr>
      <w:tr w:rsidR="006B4968" w:rsidRPr="00E54540" w14:paraId="39219CE0" w14:textId="77777777" w:rsidTr="00FC0FC5">
        <w:tc>
          <w:tcPr>
            <w:tcW w:w="3969" w:type="dxa"/>
          </w:tcPr>
          <w:p w14:paraId="13E56A53" w14:textId="1E959878" w:rsidR="006B4968" w:rsidRDefault="006B4968" w:rsidP="00AC627A">
            <w:pPr>
              <w:spacing w:after="120"/>
              <w:rPr>
                <w:sz w:val="22"/>
              </w:rPr>
            </w:pPr>
            <w:r>
              <w:rPr>
                <w:sz w:val="22"/>
              </w:rPr>
              <w:t>Map patients’ needs for professional education.</w:t>
            </w:r>
          </w:p>
        </w:tc>
        <w:tc>
          <w:tcPr>
            <w:tcW w:w="3402" w:type="dxa"/>
          </w:tcPr>
          <w:p w14:paraId="632C9DAF" w14:textId="572C780E" w:rsidR="006B4968" w:rsidRPr="00BB2456" w:rsidRDefault="006B4968" w:rsidP="00FC0FC5">
            <w:pPr>
              <w:spacing w:after="120"/>
              <w:rPr>
                <w:sz w:val="22"/>
              </w:rPr>
            </w:pPr>
            <w:r>
              <w:rPr>
                <w:sz w:val="22"/>
              </w:rPr>
              <w:t>Patient organisations with academics? Project</w:t>
            </w:r>
          </w:p>
        </w:tc>
        <w:tc>
          <w:tcPr>
            <w:tcW w:w="1560" w:type="dxa"/>
          </w:tcPr>
          <w:p w14:paraId="41AA30DE" w14:textId="1AA427BF" w:rsidR="006B4968" w:rsidRDefault="006B4968" w:rsidP="00FC0FC5">
            <w:pPr>
              <w:spacing w:after="120"/>
              <w:rPr>
                <w:sz w:val="22"/>
              </w:rPr>
            </w:pPr>
          </w:p>
        </w:tc>
      </w:tr>
      <w:tr w:rsidR="006B4968" w:rsidRPr="00E54540" w14:paraId="03CF749A" w14:textId="77777777" w:rsidTr="00FC0FC5">
        <w:tc>
          <w:tcPr>
            <w:tcW w:w="3969" w:type="dxa"/>
            <w:shd w:val="clear" w:color="auto" w:fill="DDEEFF"/>
          </w:tcPr>
          <w:p w14:paraId="598C0A40" w14:textId="4F190914" w:rsidR="006B4968" w:rsidRDefault="006B4968" w:rsidP="00AC627A">
            <w:pPr>
              <w:spacing w:after="120"/>
              <w:rPr>
                <w:sz w:val="22"/>
              </w:rPr>
            </w:pPr>
            <w:r>
              <w:rPr>
                <w:sz w:val="22"/>
              </w:rPr>
              <w:t>Develop a core set of “soft” non-medical  competences for integration into professional training curricula.</w:t>
            </w:r>
          </w:p>
        </w:tc>
        <w:tc>
          <w:tcPr>
            <w:tcW w:w="3402" w:type="dxa"/>
            <w:shd w:val="clear" w:color="auto" w:fill="DDEEFF"/>
          </w:tcPr>
          <w:p w14:paraId="6C722106" w14:textId="7BD633A8" w:rsidR="006B4968" w:rsidRPr="00BB2456" w:rsidRDefault="006B4968" w:rsidP="00FC0FC5">
            <w:pPr>
              <w:spacing w:after="120"/>
              <w:rPr>
                <w:sz w:val="22"/>
              </w:rPr>
            </w:pPr>
            <w:r>
              <w:rPr>
                <w:sz w:val="22"/>
              </w:rPr>
              <w:t>A task force with patients, professionals, academia? Taking forward the recommendation from empathie.</w:t>
            </w:r>
          </w:p>
        </w:tc>
        <w:tc>
          <w:tcPr>
            <w:tcW w:w="1560" w:type="dxa"/>
            <w:shd w:val="clear" w:color="auto" w:fill="DDEEFF"/>
          </w:tcPr>
          <w:p w14:paraId="7169D2F8" w14:textId="77777777" w:rsidR="006B4968" w:rsidRDefault="006B4968" w:rsidP="00FC0FC5">
            <w:pPr>
              <w:spacing w:after="120"/>
              <w:rPr>
                <w:sz w:val="22"/>
              </w:rPr>
            </w:pPr>
          </w:p>
        </w:tc>
      </w:tr>
      <w:tr w:rsidR="006B4968" w:rsidRPr="00E54540" w14:paraId="2B80FA8B" w14:textId="77777777" w:rsidTr="00AC627A">
        <w:tc>
          <w:tcPr>
            <w:tcW w:w="3969" w:type="dxa"/>
            <w:shd w:val="clear" w:color="auto" w:fill="FFFFFF" w:themeFill="background1"/>
          </w:tcPr>
          <w:p w14:paraId="31DFF473" w14:textId="6017C6D9" w:rsidR="006B4968" w:rsidRDefault="006B4968" w:rsidP="00AC627A">
            <w:pPr>
              <w:spacing w:after="120"/>
              <w:rPr>
                <w:sz w:val="22"/>
              </w:rPr>
            </w:pPr>
            <w:r>
              <w:rPr>
                <w:sz w:val="22"/>
              </w:rPr>
              <w:t>Collect and share innovative practices, e.g. using patient stories, simulations, patient participation in designing training curricula.</w:t>
            </w:r>
          </w:p>
        </w:tc>
        <w:tc>
          <w:tcPr>
            <w:tcW w:w="3402" w:type="dxa"/>
            <w:shd w:val="clear" w:color="auto" w:fill="FFFFFF" w:themeFill="background1"/>
          </w:tcPr>
          <w:p w14:paraId="77B1A60F" w14:textId="2645D562" w:rsidR="006B4968" w:rsidRDefault="006B4968" w:rsidP="00AC627A">
            <w:pPr>
              <w:rPr>
                <w:sz w:val="22"/>
              </w:rPr>
            </w:pPr>
            <w:r>
              <w:rPr>
                <w:sz w:val="22"/>
              </w:rPr>
              <w:t>Such practices could be shared as part of the patient empowerment repository.</w:t>
            </w:r>
          </w:p>
        </w:tc>
        <w:tc>
          <w:tcPr>
            <w:tcW w:w="1560" w:type="dxa"/>
            <w:shd w:val="clear" w:color="auto" w:fill="FFFFFF" w:themeFill="background1"/>
          </w:tcPr>
          <w:p w14:paraId="753C75D2" w14:textId="77777777" w:rsidR="006B4968" w:rsidRDefault="006B4968" w:rsidP="00FC0FC5">
            <w:pPr>
              <w:rPr>
                <w:sz w:val="22"/>
              </w:rPr>
            </w:pPr>
          </w:p>
        </w:tc>
      </w:tr>
      <w:tr w:rsidR="006B4968" w:rsidRPr="00E54540" w14:paraId="32E2506C" w14:textId="77777777" w:rsidTr="00FC0FC5">
        <w:tc>
          <w:tcPr>
            <w:tcW w:w="3969" w:type="dxa"/>
            <w:shd w:val="clear" w:color="auto" w:fill="DDEEFF"/>
          </w:tcPr>
          <w:p w14:paraId="2BF5BD68" w14:textId="40538F77" w:rsidR="006B4968" w:rsidRDefault="006B4968" w:rsidP="00AC627A">
            <w:pPr>
              <w:rPr>
                <w:sz w:val="22"/>
              </w:rPr>
            </w:pPr>
            <w:r>
              <w:rPr>
                <w:sz w:val="22"/>
              </w:rPr>
              <w:t>More research into shared decision-making, patient decision-aids, and particularly the transferable, non-disease specific aspects should be funded.</w:t>
            </w:r>
          </w:p>
        </w:tc>
        <w:tc>
          <w:tcPr>
            <w:tcW w:w="3402" w:type="dxa"/>
            <w:shd w:val="clear" w:color="auto" w:fill="DDEEFF"/>
          </w:tcPr>
          <w:p w14:paraId="0D7002E5" w14:textId="1728BA30" w:rsidR="006B4968" w:rsidRDefault="006B4968" w:rsidP="00AC627A">
            <w:pPr>
              <w:rPr>
                <w:sz w:val="22"/>
              </w:rPr>
            </w:pPr>
            <w:r>
              <w:rPr>
                <w:sz w:val="22"/>
              </w:rPr>
              <w:t>Horizon 2020?</w:t>
            </w:r>
          </w:p>
        </w:tc>
        <w:tc>
          <w:tcPr>
            <w:tcW w:w="1560" w:type="dxa"/>
            <w:shd w:val="clear" w:color="auto" w:fill="DDEEFF"/>
          </w:tcPr>
          <w:p w14:paraId="1D2BC2F1" w14:textId="77777777" w:rsidR="006B4968" w:rsidRDefault="006B4968" w:rsidP="00FC0FC5">
            <w:pPr>
              <w:rPr>
                <w:sz w:val="22"/>
              </w:rPr>
            </w:pPr>
          </w:p>
        </w:tc>
      </w:tr>
    </w:tbl>
    <w:p w14:paraId="02263BB2" w14:textId="79252CC9" w:rsidR="006B4968" w:rsidRPr="00D35C3C" w:rsidRDefault="006B4968" w:rsidP="00D35C3C">
      <w:pPr>
        <w:pStyle w:val="Heading2"/>
        <w:spacing w:before="0" w:after="240" w:line="240" w:lineRule="auto"/>
        <w:rPr>
          <w:sz w:val="32"/>
        </w:rPr>
      </w:pPr>
      <w:bookmarkStart w:id="6" w:name="_Toc447113219"/>
      <w:r w:rsidRPr="00D35C3C">
        <w:rPr>
          <w:sz w:val="32"/>
        </w:rPr>
        <w:lastRenderedPageBreak/>
        <w:t>Priority area 4: Self-management support</w:t>
      </w:r>
      <w:bookmarkEnd w:id="6"/>
      <w:r w:rsidRPr="00D35C3C">
        <w:rPr>
          <w:sz w:val="32"/>
        </w:rPr>
        <w:t xml:space="preserve"> </w:t>
      </w:r>
    </w:p>
    <w:p w14:paraId="64786BCC" w14:textId="70193F99" w:rsidR="00112FDF" w:rsidRDefault="00112FDF" w:rsidP="00015FED">
      <w:pPr>
        <w:jc w:val="both"/>
        <w:rPr>
          <w:rFonts w:cs="Arial"/>
          <w:color w:val="000000" w:themeColor="text1"/>
        </w:rPr>
      </w:pPr>
      <w:r>
        <w:rPr>
          <w:rFonts w:cs="Arial"/>
          <w:color w:val="000000" w:themeColor="text1"/>
        </w:rPr>
        <w:t xml:space="preserve">Patients with </w:t>
      </w:r>
      <w:r w:rsidR="006B4968" w:rsidRPr="009C75BF">
        <w:rPr>
          <w:rFonts w:cs="Arial"/>
          <w:color w:val="000000" w:themeColor="text1"/>
        </w:rPr>
        <w:t>chronic conditions</w:t>
      </w:r>
      <w:r>
        <w:rPr>
          <w:rFonts w:cs="Arial"/>
          <w:color w:val="000000" w:themeColor="text1"/>
        </w:rPr>
        <w:t xml:space="preserve"> manage their</w:t>
      </w:r>
      <w:r w:rsidR="006B4968" w:rsidRPr="009C75BF">
        <w:rPr>
          <w:rFonts w:cs="Arial"/>
          <w:color w:val="000000" w:themeColor="text1"/>
        </w:rPr>
        <w:t xml:space="preserve"> condition mostly </w:t>
      </w:r>
      <w:r>
        <w:rPr>
          <w:rFonts w:cs="Arial"/>
          <w:color w:val="000000" w:themeColor="text1"/>
        </w:rPr>
        <w:t xml:space="preserve">themselves </w:t>
      </w:r>
      <w:r w:rsidR="006B4968" w:rsidRPr="009C75BF">
        <w:rPr>
          <w:rFonts w:cs="Arial"/>
          <w:color w:val="000000" w:themeColor="text1"/>
        </w:rPr>
        <w:t>in the home and in the community.</w:t>
      </w:r>
      <w:r w:rsidR="006B4968" w:rsidRPr="009C75BF">
        <w:rPr>
          <w:rStyle w:val="EndnoteReference"/>
          <w:rFonts w:cs="Arial"/>
          <w:color w:val="000000" w:themeColor="text1"/>
        </w:rPr>
        <w:endnoteReference w:id="20"/>
      </w:r>
      <w:r w:rsidR="006B4968" w:rsidRPr="009C75BF">
        <w:rPr>
          <w:rFonts w:cs="Arial"/>
          <w:color w:val="000000" w:themeColor="text1"/>
        </w:rPr>
        <w:t xml:space="preserve"> </w:t>
      </w:r>
      <w:r>
        <w:rPr>
          <w:rFonts w:cs="Arial"/>
          <w:color w:val="000000" w:themeColor="text1"/>
        </w:rPr>
        <w:t xml:space="preserve">they do this with and without support. However, to maximise the benefit of self-management patients do need effective support. This can be, but is not necessarily, through the use of technology. </w:t>
      </w:r>
    </w:p>
    <w:p w14:paraId="3F55E833" w14:textId="1506AACB" w:rsidR="006B4968" w:rsidRPr="009C75BF" w:rsidRDefault="00112FDF" w:rsidP="00015FED">
      <w:pPr>
        <w:jc w:val="both"/>
        <w:rPr>
          <w:rFonts w:cs="Arial"/>
          <w:color w:val="000000" w:themeColor="text1"/>
        </w:rPr>
      </w:pPr>
      <w:r>
        <w:rPr>
          <w:rFonts w:cs="Arial"/>
          <w:color w:val="000000" w:themeColor="text1"/>
        </w:rPr>
        <w:t xml:space="preserve">EPF fees </w:t>
      </w:r>
      <w:r w:rsidR="006B4968" w:rsidRPr="009C75BF">
        <w:rPr>
          <w:rFonts w:cs="Arial"/>
          <w:color w:val="000000" w:themeColor="text1"/>
        </w:rPr>
        <w:t xml:space="preserve">self-management </w:t>
      </w:r>
      <w:r w:rsidR="008C1C6D">
        <w:rPr>
          <w:rFonts w:cs="Arial"/>
          <w:color w:val="000000" w:themeColor="text1"/>
        </w:rPr>
        <w:t xml:space="preserve">in its wider sense </w:t>
      </w:r>
      <w:r w:rsidR="006B4968" w:rsidRPr="009C75BF">
        <w:rPr>
          <w:rFonts w:cs="Arial"/>
          <w:color w:val="000000" w:themeColor="text1"/>
        </w:rPr>
        <w:t xml:space="preserve">as a holistic approach providing </w:t>
      </w:r>
      <w:r w:rsidR="008C1C6D">
        <w:rPr>
          <w:rFonts w:cs="Arial"/>
          <w:color w:val="000000" w:themeColor="text1"/>
        </w:rPr>
        <w:t xml:space="preserve">the </w:t>
      </w:r>
      <w:r w:rsidR="006B4968" w:rsidRPr="009C75BF">
        <w:rPr>
          <w:rFonts w:cs="Arial"/>
          <w:color w:val="000000" w:themeColor="text1"/>
        </w:rPr>
        <w:t>appropriate support and tools</w:t>
      </w:r>
      <w:r w:rsidR="008C1C6D">
        <w:rPr>
          <w:rFonts w:cs="Arial"/>
          <w:color w:val="000000" w:themeColor="text1"/>
        </w:rPr>
        <w:t xml:space="preserve"> for </w:t>
      </w:r>
      <w:r w:rsidR="006B4968" w:rsidRPr="009C75BF">
        <w:rPr>
          <w:rFonts w:cs="Arial"/>
          <w:color w:val="000000" w:themeColor="text1"/>
        </w:rPr>
        <w:t>each person’s individual needs and preferences. Through this patients can develop the confidence, self-efficacy and skills to take control of the daily management of their illness and attain the greatest possible quality of life.</w:t>
      </w:r>
      <w:r w:rsidR="008C1C6D">
        <w:rPr>
          <w:rFonts w:cs="Arial"/>
          <w:color w:val="000000" w:themeColor="text1"/>
        </w:rPr>
        <w:t xml:space="preserve"> In this sense, self-management support </w:t>
      </w:r>
      <w:r w:rsidR="006B4968" w:rsidRPr="009C75BF">
        <w:rPr>
          <w:rFonts w:cs="Arial"/>
          <w:color w:val="000000" w:themeColor="text1"/>
        </w:rPr>
        <w:t>also aims to make the best use of all available resources</w:t>
      </w:r>
      <w:r w:rsidR="008C1C6D">
        <w:rPr>
          <w:rFonts w:cs="Arial"/>
          <w:color w:val="000000" w:themeColor="text1"/>
        </w:rPr>
        <w:t xml:space="preserve"> in the system – including the knowledge, skills and motivation of the patient</w:t>
      </w:r>
      <w:r w:rsidR="006B4968" w:rsidRPr="009C75BF">
        <w:rPr>
          <w:rFonts w:cs="Arial"/>
          <w:color w:val="000000" w:themeColor="text1"/>
        </w:rPr>
        <w:t>.</w:t>
      </w:r>
      <w:r w:rsidR="006B4968" w:rsidRPr="009C75BF">
        <w:rPr>
          <w:rStyle w:val="EndnoteReference"/>
          <w:rFonts w:cs="Arial"/>
          <w:color w:val="000000" w:themeColor="text1"/>
        </w:rPr>
        <w:endnoteReference w:id="21"/>
      </w:r>
      <w:r w:rsidR="006B4968" w:rsidRPr="009C75BF">
        <w:rPr>
          <w:rFonts w:cs="Arial"/>
          <w:color w:val="000000" w:themeColor="text1"/>
        </w:rPr>
        <w:t xml:space="preserve"> </w:t>
      </w:r>
    </w:p>
    <w:p w14:paraId="65AE6AAA" w14:textId="7D45570D" w:rsidR="006B4968" w:rsidRPr="009C75BF" w:rsidRDefault="006B4968" w:rsidP="00015FED">
      <w:pPr>
        <w:ind w:right="153"/>
        <w:jc w:val="both"/>
      </w:pPr>
      <w:r w:rsidRPr="009C75BF">
        <w:t>There is good evidence that</w:t>
      </w:r>
      <w:r w:rsidR="005F2053">
        <w:t xml:space="preserve"> supported </w:t>
      </w:r>
      <w:r w:rsidRPr="009C75BF">
        <w:t>self-management</w:t>
      </w:r>
      <w:r w:rsidR="005F2053">
        <w:t xml:space="preserve"> improves </w:t>
      </w:r>
      <w:r w:rsidRPr="009C75BF">
        <w:t>health outcomes and</w:t>
      </w:r>
      <w:r w:rsidR="005F2053">
        <w:t xml:space="preserve"> reduces </w:t>
      </w:r>
      <w:r w:rsidRPr="009C75BF">
        <w:t>costs.</w:t>
      </w:r>
      <w:r w:rsidR="005F2053">
        <w:rPr>
          <w:rStyle w:val="EndnoteReference"/>
        </w:rPr>
        <w:endnoteReference w:id="22"/>
      </w:r>
      <w:r w:rsidRPr="009C75BF">
        <w:t xml:space="preserve"> </w:t>
      </w:r>
      <w:r w:rsidR="00C759C7" w:rsidRPr="009C75BF">
        <w:rPr>
          <w:rFonts w:cs="Arial"/>
          <w:color w:val="000000" w:themeColor="text1"/>
        </w:rPr>
        <w:t>The importance of self-management support has long been understood, and in many disease areas (e.g. diabetes, respiratory diseases) models and tools have been promoted and researched for decades. In some disease-areas a so-called guided self-management approach is widely used.</w:t>
      </w:r>
      <w:r w:rsidR="00C759C7" w:rsidRPr="009C75BF">
        <w:rPr>
          <w:rStyle w:val="EndnoteReference"/>
          <w:rFonts w:cs="Arial"/>
          <w:color w:val="000000" w:themeColor="text1"/>
        </w:rPr>
        <w:endnoteReference w:id="23"/>
      </w:r>
    </w:p>
    <w:p w14:paraId="2CE64466" w14:textId="1F029A66" w:rsidR="00C759C7" w:rsidRPr="009C75BF" w:rsidRDefault="006B4968" w:rsidP="00015FED">
      <w:pPr>
        <w:autoSpaceDE w:val="0"/>
        <w:autoSpaceDN w:val="0"/>
        <w:adjustRightInd w:val="0"/>
        <w:jc w:val="both"/>
        <w:rPr>
          <w:rFonts w:cs="Arial"/>
          <w:color w:val="000000" w:themeColor="text1"/>
        </w:rPr>
      </w:pPr>
      <w:r w:rsidRPr="009C75BF">
        <w:t>The Chronic Care Model recognises the central role of the informed, motivated patient alongside with a prepared and proactive care team. At the heart of this model is the importance of providing patients with effective self-management support for long-term health problems.</w:t>
      </w:r>
      <w:r w:rsidRPr="009C75BF">
        <w:rPr>
          <w:rStyle w:val="EndnoteReference"/>
        </w:rPr>
        <w:endnoteReference w:id="24"/>
      </w:r>
      <w:r w:rsidRPr="009C75BF">
        <w:t xml:space="preserve"> The Stanford chronic disease self-management programme is based on the chronic care model.</w:t>
      </w:r>
      <w:r w:rsidRPr="009C75BF">
        <w:rPr>
          <w:rStyle w:val="EndnoteReference"/>
        </w:rPr>
        <w:endnoteReference w:id="25"/>
      </w:r>
      <w:r w:rsidRPr="009C75BF">
        <w:t xml:space="preserve"> </w:t>
      </w:r>
      <w:r w:rsidR="00C759C7" w:rsidRPr="009C75BF">
        <w:rPr>
          <w:rFonts w:cs="Arial"/>
          <w:color w:val="000000" w:themeColor="text1"/>
        </w:rPr>
        <w:t>Yet, overall,</w:t>
      </w:r>
      <w:r w:rsidR="00C759C7">
        <w:rPr>
          <w:rFonts w:cs="Arial"/>
          <w:color w:val="000000" w:themeColor="text1"/>
        </w:rPr>
        <w:t xml:space="preserve"> such </w:t>
      </w:r>
      <w:r w:rsidR="00C759C7" w:rsidRPr="009C75BF">
        <w:rPr>
          <w:rFonts w:cs="Arial"/>
          <w:color w:val="000000" w:themeColor="text1"/>
        </w:rPr>
        <w:t xml:space="preserve">services are still not available to patients consistently across countries and disease areas. </w:t>
      </w:r>
    </w:p>
    <w:tbl>
      <w:tblPr>
        <w:tblStyle w:val="TableGrid"/>
        <w:tblW w:w="8931" w:type="dxa"/>
        <w:tblInd w:w="-5" w:type="dxa"/>
        <w:tblLook w:val="04A0" w:firstRow="1" w:lastRow="0" w:firstColumn="1" w:lastColumn="0" w:noHBand="0" w:noVBand="1"/>
      </w:tblPr>
      <w:tblGrid>
        <w:gridCol w:w="3969"/>
        <w:gridCol w:w="3402"/>
        <w:gridCol w:w="1560"/>
      </w:tblGrid>
      <w:tr w:rsidR="00B84534" w:rsidRPr="00544F53" w14:paraId="640C81BB" w14:textId="77777777" w:rsidTr="00B84534">
        <w:trPr>
          <w:trHeight w:val="536"/>
        </w:trPr>
        <w:tc>
          <w:tcPr>
            <w:tcW w:w="3969" w:type="dxa"/>
            <w:shd w:val="clear" w:color="auto" w:fill="AFD7FF"/>
          </w:tcPr>
          <w:p w14:paraId="6A11B093" w14:textId="77777777" w:rsidR="00B84534" w:rsidRPr="00544F53" w:rsidRDefault="00B84534" w:rsidP="00FC0FC5">
            <w:pPr>
              <w:spacing w:after="40"/>
              <w:rPr>
                <w:b/>
                <w:sz w:val="22"/>
              </w:rPr>
            </w:pPr>
            <w:r w:rsidRPr="00544F53">
              <w:rPr>
                <w:b/>
                <w:sz w:val="22"/>
              </w:rPr>
              <w:t xml:space="preserve">Action </w:t>
            </w:r>
          </w:p>
        </w:tc>
        <w:tc>
          <w:tcPr>
            <w:tcW w:w="3402" w:type="dxa"/>
            <w:shd w:val="clear" w:color="auto" w:fill="AFD7FF"/>
          </w:tcPr>
          <w:p w14:paraId="43AFE240" w14:textId="77777777" w:rsidR="00B84534" w:rsidRPr="00544F53" w:rsidRDefault="00B84534" w:rsidP="00FC0FC5">
            <w:pPr>
              <w:spacing w:after="40"/>
              <w:rPr>
                <w:b/>
                <w:sz w:val="22"/>
              </w:rPr>
            </w:pPr>
            <w:r w:rsidRPr="00544F53">
              <w:rPr>
                <w:b/>
                <w:sz w:val="22"/>
              </w:rPr>
              <w:t>Objective/example of achievement</w:t>
            </w:r>
          </w:p>
        </w:tc>
        <w:tc>
          <w:tcPr>
            <w:tcW w:w="1560" w:type="dxa"/>
            <w:shd w:val="clear" w:color="auto" w:fill="AFD7FF"/>
          </w:tcPr>
          <w:p w14:paraId="4D878BD6" w14:textId="77777777" w:rsidR="00B84534" w:rsidRPr="00544F53" w:rsidRDefault="00B84534" w:rsidP="00FC0FC5">
            <w:pPr>
              <w:spacing w:after="40"/>
              <w:rPr>
                <w:b/>
                <w:sz w:val="22"/>
              </w:rPr>
            </w:pPr>
            <w:r w:rsidRPr="00544F53">
              <w:rPr>
                <w:b/>
                <w:sz w:val="22"/>
              </w:rPr>
              <w:t xml:space="preserve">Time frame </w:t>
            </w:r>
          </w:p>
        </w:tc>
      </w:tr>
      <w:tr w:rsidR="00B84534" w:rsidRPr="00E54540" w14:paraId="629D3A5C" w14:textId="77777777" w:rsidTr="00B84534">
        <w:tc>
          <w:tcPr>
            <w:tcW w:w="3969" w:type="dxa"/>
          </w:tcPr>
          <w:p w14:paraId="4ED9DFD7" w14:textId="0EE11604" w:rsidR="00B84534" w:rsidRDefault="00B84534" w:rsidP="00FC0FC5">
            <w:pPr>
              <w:spacing w:after="120"/>
              <w:rPr>
                <w:sz w:val="22"/>
              </w:rPr>
            </w:pPr>
            <w:r>
              <w:rPr>
                <w:sz w:val="22"/>
              </w:rPr>
              <w:t>Evidence base self-management education should be made widely available.</w:t>
            </w:r>
          </w:p>
        </w:tc>
        <w:tc>
          <w:tcPr>
            <w:tcW w:w="3402" w:type="dxa"/>
          </w:tcPr>
          <w:p w14:paraId="176D0D14" w14:textId="2D5FCAFE" w:rsidR="00B84534" w:rsidRPr="00BB2456" w:rsidRDefault="00B84534" w:rsidP="00B84534">
            <w:pPr>
              <w:spacing w:after="120"/>
              <w:rPr>
                <w:sz w:val="22"/>
              </w:rPr>
            </w:pPr>
            <w:r>
              <w:rPr>
                <w:sz w:val="22"/>
              </w:rPr>
              <w:t>? ENOPE how can we make such programmes more accessible, given the restrictions on budgets? Innovative ways of delivering them? Community involvement?</w:t>
            </w:r>
          </w:p>
        </w:tc>
        <w:tc>
          <w:tcPr>
            <w:tcW w:w="1560" w:type="dxa"/>
          </w:tcPr>
          <w:p w14:paraId="4D9B872A" w14:textId="77777777" w:rsidR="00B84534" w:rsidRDefault="00B84534" w:rsidP="00FC0FC5">
            <w:pPr>
              <w:spacing w:after="120"/>
              <w:rPr>
                <w:sz w:val="22"/>
              </w:rPr>
            </w:pPr>
          </w:p>
        </w:tc>
      </w:tr>
      <w:tr w:rsidR="00B84534" w:rsidRPr="00E54540" w14:paraId="54B5E3A9" w14:textId="77777777" w:rsidTr="00B84534">
        <w:tc>
          <w:tcPr>
            <w:tcW w:w="3969" w:type="dxa"/>
            <w:shd w:val="clear" w:color="auto" w:fill="DDEEFF"/>
          </w:tcPr>
          <w:p w14:paraId="44D4CF09" w14:textId="7E870E5A" w:rsidR="00B84534" w:rsidRDefault="00B84534" w:rsidP="00B84534">
            <w:pPr>
              <w:spacing w:after="120"/>
              <w:rPr>
                <w:sz w:val="22"/>
              </w:rPr>
            </w:pPr>
            <w:r>
              <w:rPr>
                <w:sz w:val="22"/>
              </w:rPr>
              <w:t>A better understanding of cross-disease aspects of self-management support is needed.</w:t>
            </w:r>
          </w:p>
        </w:tc>
        <w:tc>
          <w:tcPr>
            <w:tcW w:w="3402" w:type="dxa"/>
            <w:shd w:val="clear" w:color="auto" w:fill="DDEEFF"/>
          </w:tcPr>
          <w:p w14:paraId="382E8D34" w14:textId="77777777" w:rsidR="00B84534" w:rsidRDefault="00B84534" w:rsidP="00B84534">
            <w:pPr>
              <w:spacing w:after="120"/>
              <w:rPr>
                <w:sz w:val="22"/>
              </w:rPr>
            </w:pPr>
            <w:r>
              <w:rPr>
                <w:sz w:val="22"/>
              </w:rPr>
              <w:t xml:space="preserve">? ENOPE. Research? </w:t>
            </w:r>
          </w:p>
          <w:p w14:paraId="33177086" w14:textId="789E1041" w:rsidR="00B84534" w:rsidRPr="00BB2456" w:rsidRDefault="00B84534" w:rsidP="00B84534">
            <w:pPr>
              <w:spacing w:after="120"/>
              <w:rPr>
                <w:sz w:val="22"/>
              </w:rPr>
            </w:pPr>
          </w:p>
        </w:tc>
        <w:tc>
          <w:tcPr>
            <w:tcW w:w="1560" w:type="dxa"/>
            <w:shd w:val="clear" w:color="auto" w:fill="DDEEFF"/>
          </w:tcPr>
          <w:p w14:paraId="25449FDF" w14:textId="77777777" w:rsidR="00B84534" w:rsidRDefault="00B84534" w:rsidP="00FC0FC5">
            <w:pPr>
              <w:spacing w:after="120"/>
              <w:rPr>
                <w:sz w:val="22"/>
              </w:rPr>
            </w:pPr>
          </w:p>
        </w:tc>
      </w:tr>
      <w:tr w:rsidR="00B84534" w:rsidRPr="00E54540" w14:paraId="7EC0B4A9" w14:textId="77777777" w:rsidTr="00B84534">
        <w:tc>
          <w:tcPr>
            <w:tcW w:w="3969" w:type="dxa"/>
            <w:shd w:val="clear" w:color="auto" w:fill="auto"/>
          </w:tcPr>
          <w:p w14:paraId="4461CA41" w14:textId="431236E7" w:rsidR="00B84534" w:rsidRDefault="00B84534" w:rsidP="00E4665F">
            <w:pPr>
              <w:spacing w:after="120"/>
              <w:rPr>
                <w:sz w:val="22"/>
              </w:rPr>
            </w:pPr>
            <w:r>
              <w:rPr>
                <w:sz w:val="22"/>
              </w:rPr>
              <w:t>Development of integrated care models and pathways, with the patient and family as active participants, and which include self-management support and also link health with social care and support.</w:t>
            </w:r>
          </w:p>
        </w:tc>
        <w:tc>
          <w:tcPr>
            <w:tcW w:w="3402" w:type="dxa"/>
            <w:shd w:val="clear" w:color="auto" w:fill="auto"/>
          </w:tcPr>
          <w:p w14:paraId="7698F9C0" w14:textId="6A516193" w:rsidR="00B84534" w:rsidRDefault="00B84534" w:rsidP="00FC0FC5">
            <w:pPr>
              <w:rPr>
                <w:sz w:val="22"/>
              </w:rPr>
            </w:pPr>
            <w:r>
              <w:rPr>
                <w:sz w:val="22"/>
              </w:rPr>
              <w:t>Project? Does an overview exist?</w:t>
            </w:r>
          </w:p>
        </w:tc>
        <w:tc>
          <w:tcPr>
            <w:tcW w:w="1560" w:type="dxa"/>
            <w:shd w:val="clear" w:color="auto" w:fill="auto"/>
          </w:tcPr>
          <w:p w14:paraId="65B2284B" w14:textId="77777777" w:rsidR="00B84534" w:rsidRDefault="00B84534" w:rsidP="00FC0FC5">
            <w:pPr>
              <w:rPr>
                <w:sz w:val="22"/>
              </w:rPr>
            </w:pPr>
          </w:p>
        </w:tc>
      </w:tr>
      <w:tr w:rsidR="00E4665F" w:rsidRPr="00E54540" w14:paraId="5E59D0BA" w14:textId="77777777" w:rsidTr="00E4665F">
        <w:tc>
          <w:tcPr>
            <w:tcW w:w="3969" w:type="dxa"/>
            <w:shd w:val="clear" w:color="auto" w:fill="DDEEFF"/>
          </w:tcPr>
          <w:p w14:paraId="63C60387" w14:textId="4CD90AB2" w:rsidR="00E4665F" w:rsidRDefault="00E4665F" w:rsidP="00B84534">
            <w:pPr>
              <w:rPr>
                <w:sz w:val="22"/>
              </w:rPr>
            </w:pPr>
            <w:r>
              <w:rPr>
                <w:sz w:val="22"/>
              </w:rPr>
              <w:t>EU level guidance on promotion of self-care, including communication and policy development.</w:t>
            </w:r>
          </w:p>
        </w:tc>
        <w:tc>
          <w:tcPr>
            <w:tcW w:w="3402" w:type="dxa"/>
            <w:shd w:val="clear" w:color="auto" w:fill="DDEEFF"/>
          </w:tcPr>
          <w:p w14:paraId="3E824FEC" w14:textId="0882E869" w:rsidR="00E4665F" w:rsidRDefault="00E4665F" w:rsidP="00E4665F">
            <w:pPr>
              <w:rPr>
                <w:sz w:val="22"/>
              </w:rPr>
            </w:pPr>
            <w:r>
              <w:rPr>
                <w:sz w:val="22"/>
              </w:rPr>
              <w:t>Two ongoing EU- funded studies (PISCE and PRO-STEP) will deliver their results by 2018.</w:t>
            </w:r>
          </w:p>
        </w:tc>
        <w:tc>
          <w:tcPr>
            <w:tcW w:w="1560" w:type="dxa"/>
            <w:shd w:val="clear" w:color="auto" w:fill="DDEEFF"/>
          </w:tcPr>
          <w:p w14:paraId="2840F092" w14:textId="211AC0FD" w:rsidR="00E4665F" w:rsidRDefault="00E4665F" w:rsidP="00FC0FC5">
            <w:pPr>
              <w:rPr>
                <w:sz w:val="22"/>
              </w:rPr>
            </w:pPr>
            <w:r>
              <w:rPr>
                <w:sz w:val="22"/>
              </w:rPr>
              <w:t>Short</w:t>
            </w:r>
          </w:p>
        </w:tc>
      </w:tr>
    </w:tbl>
    <w:p w14:paraId="45B20A09" w14:textId="3FE9B2E4" w:rsidR="006B4968" w:rsidRPr="0013328A" w:rsidRDefault="006B4968" w:rsidP="00D35C3C">
      <w:pPr>
        <w:pStyle w:val="Heading2"/>
        <w:spacing w:before="0" w:after="240" w:line="240" w:lineRule="auto"/>
        <w:rPr>
          <w:color w:val="1F3864" w:themeColor="accent5" w:themeShade="80"/>
          <w:sz w:val="28"/>
        </w:rPr>
      </w:pPr>
      <w:bookmarkStart w:id="7" w:name="_Toc447113220"/>
      <w:r>
        <w:rPr>
          <w:color w:val="1F3864" w:themeColor="accent5" w:themeShade="80"/>
          <w:sz w:val="28"/>
        </w:rPr>
        <w:lastRenderedPageBreak/>
        <w:t>Priority area 5: Patient-driven technology solutions</w:t>
      </w:r>
      <w:bookmarkEnd w:id="7"/>
      <w:r>
        <w:rPr>
          <w:color w:val="1F3864" w:themeColor="accent5" w:themeShade="80"/>
          <w:sz w:val="28"/>
        </w:rPr>
        <w:t xml:space="preserve"> </w:t>
      </w:r>
    </w:p>
    <w:p w14:paraId="2DC324A5" w14:textId="77777777" w:rsidR="006B4968" w:rsidRPr="009C75BF" w:rsidRDefault="006B4968" w:rsidP="00015FED">
      <w:pPr>
        <w:pStyle w:val="ListParagraph"/>
        <w:ind w:left="0"/>
        <w:contextualSpacing w:val="0"/>
        <w:jc w:val="both"/>
      </w:pPr>
      <w:r w:rsidRPr="009C75BF">
        <w:t xml:space="preserve">eHealth and mHealth are rapidly emerging areas of healthcare; while they are often seen as potential solutions to increase efficiency and cut costs, they also have considerable potential to support patients’ empowerment and adoption of an active and responsible role for their health. Such tools can provide self-management support and motivation; patients can also monitor their condition at home through wearable technology. They could add data from their own observations to a global electronic health record, shared with health professionals. Such a health record can also contain information on general health such as diet and exercise. </w:t>
      </w:r>
    </w:p>
    <w:p w14:paraId="2C5C0CAD" w14:textId="10C5FCF0" w:rsidR="002C3D38" w:rsidRPr="009C75BF" w:rsidRDefault="006B4968" w:rsidP="001B6EF8">
      <w:pPr>
        <w:pStyle w:val="ListParagraph"/>
        <w:ind w:left="0"/>
        <w:contextualSpacing w:val="0"/>
        <w:jc w:val="both"/>
      </w:pPr>
      <w:r w:rsidRPr="009C75BF">
        <w:t>Mobile apps offer potential for developing information and diagnostic tools, possibilities to “self-quantify” as well as new modalities of care, blurring the distinction between the traditional provision of clinical care by physicians, and the self-administration of care.</w:t>
      </w:r>
      <w:r w:rsidR="00DA14D5">
        <w:rPr>
          <w:rStyle w:val="EndnoteReference"/>
        </w:rPr>
        <w:endnoteReference w:id="26"/>
      </w:r>
      <w:r w:rsidRPr="009C75BF">
        <w:t xml:space="preserve"> However, most available tools at the moment target the consumer</w:t>
      </w:r>
      <w:r w:rsidR="006E59F6">
        <w:t xml:space="preserve"> </w:t>
      </w:r>
      <w:r w:rsidRPr="009C75BF">
        <w:t>market</w:t>
      </w:r>
      <w:r w:rsidR="006E59F6">
        <w:t>;</w:t>
      </w:r>
      <w:r w:rsidRPr="009C75BF">
        <w:t xml:space="preserve"> </w:t>
      </w:r>
      <w:r w:rsidR="006E59F6">
        <w:t xml:space="preserve">patients who use mHealth are a </w:t>
      </w:r>
      <w:r w:rsidRPr="009C75BF">
        <w:t xml:space="preserve">minority, and </w:t>
      </w:r>
      <w:r w:rsidR="006E59F6">
        <w:t xml:space="preserve">they often </w:t>
      </w:r>
      <w:r w:rsidRPr="009C75BF">
        <w:t xml:space="preserve">do not find it easy to know which app </w:t>
      </w:r>
      <w:r w:rsidR="006E59F6">
        <w:t xml:space="preserve">would </w:t>
      </w:r>
      <w:r w:rsidRPr="009C75BF">
        <w:t>be right for them.</w:t>
      </w:r>
      <w:r w:rsidR="002C3D38" w:rsidRPr="002C3D38">
        <w:t xml:space="preserve"> </w:t>
      </w:r>
      <w:r w:rsidR="002C3D38" w:rsidRPr="009C75BF">
        <w:t>The European Commission’s eHealth Action Plan (2012) identified lack of trust and training as being among key barriers to uptake</w:t>
      </w:r>
      <w:r w:rsidR="002C3D38">
        <w:t xml:space="preserve"> of technology</w:t>
      </w:r>
      <w:r w:rsidR="002C3D38" w:rsidRPr="009C75BF">
        <w:t>.</w:t>
      </w:r>
      <w:r w:rsidR="002C3D38" w:rsidRPr="009C75BF">
        <w:rPr>
          <w:rStyle w:val="EndnoteReference"/>
        </w:rPr>
        <w:endnoteReference w:id="27"/>
      </w:r>
      <w:r w:rsidR="002C3D38" w:rsidRPr="009C75BF">
        <w:t xml:space="preserve"> </w:t>
      </w:r>
    </w:p>
    <w:p w14:paraId="440BE3A1" w14:textId="6CDA91EA" w:rsidR="006B4968" w:rsidRDefault="006B4968" w:rsidP="00015FED">
      <w:pPr>
        <w:pStyle w:val="ListParagraph"/>
        <w:spacing w:after="240"/>
        <w:ind w:left="0"/>
        <w:contextualSpacing w:val="0"/>
        <w:jc w:val="both"/>
      </w:pPr>
      <w:r w:rsidRPr="009C75BF">
        <w:t>Often, new devices are introduced as “empowering</w:t>
      </w:r>
      <w:r w:rsidR="002C3D38">
        <w:t>”</w:t>
      </w:r>
      <w:r w:rsidRPr="009C75BF">
        <w:t xml:space="preserve"> patients, when patients have not been consulted in the development of the “innovation” and there is no </w:t>
      </w:r>
      <w:r w:rsidR="001B6EF8">
        <w:t>evidence</w:t>
      </w:r>
      <w:r w:rsidRPr="009C75BF">
        <w:t xml:space="preserve"> that the new tool</w:t>
      </w:r>
      <w:r w:rsidR="001B6EF8">
        <w:t xml:space="preserve"> meets an identified patient need.</w:t>
      </w:r>
      <w:r w:rsidRPr="009C75BF">
        <w:t xml:space="preserve"> </w:t>
      </w:r>
      <w:r w:rsidR="001B6EF8">
        <w:t xml:space="preserve">Therefore, in </w:t>
      </w:r>
      <w:r w:rsidRPr="009C75BF">
        <w:t>order for</w:t>
      </w:r>
      <w:r w:rsidR="00F37B35">
        <w:t xml:space="preserve"> these tools </w:t>
      </w:r>
      <w:r w:rsidRPr="009C75BF">
        <w:t>to realise</w:t>
      </w:r>
      <w:r w:rsidR="00F37B35">
        <w:t xml:space="preserve"> their </w:t>
      </w:r>
      <w:r w:rsidRPr="009C75BF">
        <w:t>potential,</w:t>
      </w:r>
      <w:r w:rsidR="00F37B35">
        <w:t xml:space="preserve"> their </w:t>
      </w:r>
      <w:r w:rsidRPr="009C75BF">
        <w:t>development needs to be user-driven rather than technology-driven.</w:t>
      </w:r>
    </w:p>
    <w:tbl>
      <w:tblPr>
        <w:tblStyle w:val="TableGrid"/>
        <w:tblW w:w="8931" w:type="dxa"/>
        <w:tblInd w:w="-5" w:type="dxa"/>
        <w:tblLook w:val="04A0" w:firstRow="1" w:lastRow="0" w:firstColumn="1" w:lastColumn="0" w:noHBand="0" w:noVBand="1"/>
      </w:tblPr>
      <w:tblGrid>
        <w:gridCol w:w="3969"/>
        <w:gridCol w:w="3402"/>
        <w:gridCol w:w="1560"/>
      </w:tblGrid>
      <w:tr w:rsidR="00B42B7A" w:rsidRPr="00544F53" w14:paraId="7656EC31" w14:textId="77777777" w:rsidTr="001B6EF8">
        <w:trPr>
          <w:trHeight w:val="536"/>
        </w:trPr>
        <w:tc>
          <w:tcPr>
            <w:tcW w:w="3969" w:type="dxa"/>
            <w:shd w:val="clear" w:color="auto" w:fill="AFD7FF"/>
          </w:tcPr>
          <w:p w14:paraId="1CF92C60" w14:textId="77777777" w:rsidR="00B42B7A" w:rsidRPr="00544F53" w:rsidRDefault="00B42B7A" w:rsidP="00FC0FC5">
            <w:pPr>
              <w:spacing w:after="40"/>
              <w:rPr>
                <w:b/>
                <w:sz w:val="22"/>
              </w:rPr>
            </w:pPr>
            <w:r w:rsidRPr="00544F53">
              <w:rPr>
                <w:b/>
                <w:sz w:val="22"/>
              </w:rPr>
              <w:t xml:space="preserve">Action </w:t>
            </w:r>
          </w:p>
        </w:tc>
        <w:tc>
          <w:tcPr>
            <w:tcW w:w="3402" w:type="dxa"/>
            <w:shd w:val="clear" w:color="auto" w:fill="AFD7FF"/>
          </w:tcPr>
          <w:p w14:paraId="1E2811E7" w14:textId="77777777" w:rsidR="00B42B7A" w:rsidRPr="00544F53" w:rsidRDefault="00B42B7A" w:rsidP="00FC0FC5">
            <w:pPr>
              <w:spacing w:after="40"/>
              <w:rPr>
                <w:b/>
                <w:sz w:val="22"/>
              </w:rPr>
            </w:pPr>
            <w:r w:rsidRPr="00544F53">
              <w:rPr>
                <w:b/>
                <w:sz w:val="22"/>
              </w:rPr>
              <w:t>Objective/example of achievement</w:t>
            </w:r>
          </w:p>
        </w:tc>
        <w:tc>
          <w:tcPr>
            <w:tcW w:w="1560" w:type="dxa"/>
            <w:shd w:val="clear" w:color="auto" w:fill="AFD7FF"/>
          </w:tcPr>
          <w:p w14:paraId="02439926" w14:textId="77777777" w:rsidR="00B42B7A" w:rsidRPr="00544F53" w:rsidRDefault="00B42B7A" w:rsidP="00FC0FC5">
            <w:pPr>
              <w:spacing w:after="40"/>
              <w:rPr>
                <w:b/>
                <w:sz w:val="22"/>
              </w:rPr>
            </w:pPr>
            <w:r w:rsidRPr="00544F53">
              <w:rPr>
                <w:b/>
                <w:sz w:val="22"/>
              </w:rPr>
              <w:t xml:space="preserve">Time frame </w:t>
            </w:r>
          </w:p>
        </w:tc>
      </w:tr>
      <w:tr w:rsidR="00B42B7A" w:rsidRPr="00E54540" w14:paraId="37A5B84E" w14:textId="77777777" w:rsidTr="001B6EF8">
        <w:tc>
          <w:tcPr>
            <w:tcW w:w="3969" w:type="dxa"/>
          </w:tcPr>
          <w:p w14:paraId="7FB00624" w14:textId="379B43F4" w:rsidR="00B42B7A" w:rsidRDefault="001B6EF8" w:rsidP="00FC0FC5">
            <w:pPr>
              <w:spacing w:after="120"/>
              <w:rPr>
                <w:sz w:val="22"/>
              </w:rPr>
            </w:pPr>
            <w:r w:rsidRPr="001B6EF8">
              <w:rPr>
                <w:sz w:val="22"/>
              </w:rPr>
              <w:t>Based on findings  to date , targeted research and development to address the lack of user-friendly tools and services</w:t>
            </w:r>
            <w:r w:rsidR="00B42B7A">
              <w:rPr>
                <w:sz w:val="22"/>
              </w:rPr>
              <w:t>.</w:t>
            </w:r>
          </w:p>
        </w:tc>
        <w:tc>
          <w:tcPr>
            <w:tcW w:w="3402" w:type="dxa"/>
          </w:tcPr>
          <w:p w14:paraId="1EE88B0A" w14:textId="5A8AA8C1" w:rsidR="00B42B7A" w:rsidRPr="00BB2456" w:rsidRDefault="00B42B7A" w:rsidP="00FC0FC5">
            <w:pPr>
              <w:spacing w:after="120"/>
              <w:rPr>
                <w:sz w:val="22"/>
              </w:rPr>
            </w:pPr>
          </w:p>
        </w:tc>
        <w:tc>
          <w:tcPr>
            <w:tcW w:w="1560" w:type="dxa"/>
          </w:tcPr>
          <w:p w14:paraId="5A2AD121" w14:textId="77777777" w:rsidR="00B42B7A" w:rsidRDefault="00B42B7A" w:rsidP="00FC0FC5">
            <w:pPr>
              <w:spacing w:after="120"/>
              <w:rPr>
                <w:sz w:val="22"/>
              </w:rPr>
            </w:pPr>
          </w:p>
        </w:tc>
      </w:tr>
      <w:tr w:rsidR="00B42B7A" w:rsidRPr="00E54540" w14:paraId="6B5CC0B4" w14:textId="77777777" w:rsidTr="001B6EF8">
        <w:tc>
          <w:tcPr>
            <w:tcW w:w="3969" w:type="dxa"/>
            <w:shd w:val="clear" w:color="auto" w:fill="DDEEFF"/>
          </w:tcPr>
          <w:p w14:paraId="6B9C4F97" w14:textId="54C1AC79" w:rsidR="00B42B7A" w:rsidRDefault="001B6EF8" w:rsidP="001B6EF8">
            <w:pPr>
              <w:spacing w:after="120"/>
              <w:rPr>
                <w:sz w:val="22"/>
              </w:rPr>
            </w:pPr>
            <w:r w:rsidRPr="001B6EF8">
              <w:rPr>
                <w:sz w:val="22"/>
              </w:rPr>
              <w:t>Develop quality standards and guidelines for the development and use of mobile health application</w:t>
            </w:r>
            <w:r>
              <w:rPr>
                <w:sz w:val="22"/>
              </w:rPr>
              <w:t xml:space="preserve">s, </w:t>
            </w:r>
            <w:r w:rsidRPr="001B6EF8">
              <w:rPr>
                <w:sz w:val="22"/>
              </w:rPr>
              <w:t xml:space="preserve">including patient engagement from the </w:t>
            </w:r>
            <w:r>
              <w:rPr>
                <w:sz w:val="22"/>
              </w:rPr>
              <w:t>start</w:t>
            </w:r>
            <w:r w:rsidR="00B42B7A">
              <w:rPr>
                <w:sz w:val="22"/>
              </w:rPr>
              <w:t>.</w:t>
            </w:r>
          </w:p>
        </w:tc>
        <w:tc>
          <w:tcPr>
            <w:tcW w:w="3402" w:type="dxa"/>
            <w:shd w:val="clear" w:color="auto" w:fill="DDEEFF"/>
          </w:tcPr>
          <w:p w14:paraId="14754679" w14:textId="62F002B6" w:rsidR="00B42B7A" w:rsidRPr="00BB2456" w:rsidRDefault="001B6EF8" w:rsidP="001B6EF8">
            <w:pPr>
              <w:spacing w:after="120"/>
              <w:rPr>
                <w:sz w:val="22"/>
              </w:rPr>
            </w:pPr>
            <w:r>
              <w:rPr>
                <w:sz w:val="22"/>
              </w:rPr>
              <w:t>Note: this is already happening. Patient involvement?</w:t>
            </w:r>
          </w:p>
        </w:tc>
        <w:tc>
          <w:tcPr>
            <w:tcW w:w="1560" w:type="dxa"/>
            <w:shd w:val="clear" w:color="auto" w:fill="DDEEFF"/>
          </w:tcPr>
          <w:p w14:paraId="721D5BEE" w14:textId="77777777" w:rsidR="00B42B7A" w:rsidRDefault="00B42B7A" w:rsidP="00FC0FC5">
            <w:pPr>
              <w:spacing w:after="120"/>
              <w:rPr>
                <w:sz w:val="22"/>
              </w:rPr>
            </w:pPr>
          </w:p>
        </w:tc>
      </w:tr>
      <w:tr w:rsidR="001B6EF8" w:rsidRPr="00E54540" w14:paraId="76B01D7D" w14:textId="77777777" w:rsidTr="001B6EF8">
        <w:tc>
          <w:tcPr>
            <w:tcW w:w="3969" w:type="dxa"/>
            <w:shd w:val="clear" w:color="auto" w:fill="auto"/>
          </w:tcPr>
          <w:p w14:paraId="285998A7" w14:textId="1707FF91" w:rsidR="001B6EF8" w:rsidRPr="001B6EF8" w:rsidRDefault="001B6EF8" w:rsidP="001B6EF8">
            <w:pPr>
              <w:spacing w:after="120"/>
              <w:rPr>
                <w:sz w:val="22"/>
              </w:rPr>
            </w:pPr>
            <w:r w:rsidRPr="001B6EF8">
              <w:rPr>
                <w:sz w:val="22"/>
              </w:rPr>
              <w:t>Develop indicators to measure added value of these applications – from the patients’ and the health systems’ perspective</w:t>
            </w:r>
          </w:p>
        </w:tc>
        <w:tc>
          <w:tcPr>
            <w:tcW w:w="3402" w:type="dxa"/>
            <w:shd w:val="clear" w:color="auto" w:fill="auto"/>
          </w:tcPr>
          <w:p w14:paraId="1041F73E" w14:textId="77777777" w:rsidR="001B6EF8" w:rsidRDefault="001B6EF8" w:rsidP="001B6EF8">
            <w:pPr>
              <w:rPr>
                <w:sz w:val="22"/>
              </w:rPr>
            </w:pPr>
          </w:p>
        </w:tc>
        <w:tc>
          <w:tcPr>
            <w:tcW w:w="1560" w:type="dxa"/>
            <w:shd w:val="clear" w:color="auto" w:fill="auto"/>
          </w:tcPr>
          <w:p w14:paraId="4DB6BE52" w14:textId="77777777" w:rsidR="001B6EF8" w:rsidRDefault="001B6EF8" w:rsidP="00FC0FC5">
            <w:pPr>
              <w:rPr>
                <w:sz w:val="22"/>
              </w:rPr>
            </w:pPr>
          </w:p>
        </w:tc>
      </w:tr>
      <w:tr w:rsidR="001B6EF8" w:rsidRPr="00E54540" w14:paraId="2C07E781" w14:textId="77777777" w:rsidTr="001B6EF8">
        <w:tc>
          <w:tcPr>
            <w:tcW w:w="3969" w:type="dxa"/>
            <w:shd w:val="clear" w:color="auto" w:fill="DDEEFF"/>
          </w:tcPr>
          <w:p w14:paraId="51BDC85D" w14:textId="0EC6B503" w:rsidR="001B6EF8" w:rsidRPr="001B6EF8" w:rsidRDefault="001B6EF8" w:rsidP="001B6EF8">
            <w:pPr>
              <w:spacing w:after="120"/>
              <w:rPr>
                <w:sz w:val="22"/>
              </w:rPr>
            </w:pPr>
            <w:r w:rsidRPr="001B6EF8">
              <w:rPr>
                <w:sz w:val="22"/>
              </w:rPr>
              <w:t>Develop education resources and tools to support use of eHealth and mHealth by patients and by professionals</w:t>
            </w:r>
            <w:r>
              <w:rPr>
                <w:sz w:val="22"/>
              </w:rPr>
              <w:t>.</w:t>
            </w:r>
          </w:p>
        </w:tc>
        <w:tc>
          <w:tcPr>
            <w:tcW w:w="3402" w:type="dxa"/>
            <w:shd w:val="clear" w:color="auto" w:fill="DDEEFF"/>
          </w:tcPr>
          <w:p w14:paraId="78BC6FB6" w14:textId="77777777" w:rsidR="001B6EF8" w:rsidRDefault="001B6EF8" w:rsidP="001B6EF8">
            <w:pPr>
              <w:rPr>
                <w:sz w:val="22"/>
              </w:rPr>
            </w:pPr>
          </w:p>
        </w:tc>
        <w:tc>
          <w:tcPr>
            <w:tcW w:w="1560" w:type="dxa"/>
            <w:shd w:val="clear" w:color="auto" w:fill="DDEEFF"/>
          </w:tcPr>
          <w:p w14:paraId="70168C0E" w14:textId="77777777" w:rsidR="001B6EF8" w:rsidRDefault="001B6EF8" w:rsidP="00FC0FC5">
            <w:pPr>
              <w:rPr>
                <w:sz w:val="22"/>
              </w:rPr>
            </w:pPr>
          </w:p>
        </w:tc>
      </w:tr>
      <w:tr w:rsidR="001B6EF8" w:rsidRPr="00E54540" w14:paraId="18B0BE64" w14:textId="77777777" w:rsidTr="001B6EF8">
        <w:tc>
          <w:tcPr>
            <w:tcW w:w="3969" w:type="dxa"/>
          </w:tcPr>
          <w:p w14:paraId="7EC0C127" w14:textId="0F8E8375" w:rsidR="001B6EF8" w:rsidRPr="001B6EF8" w:rsidRDefault="001B6EF8" w:rsidP="001B6EF8">
            <w:pPr>
              <w:spacing w:after="120"/>
              <w:rPr>
                <w:sz w:val="22"/>
              </w:rPr>
            </w:pPr>
            <w:r w:rsidRPr="001B6EF8">
              <w:rPr>
                <w:sz w:val="22"/>
              </w:rPr>
              <w:t xml:space="preserve">There are a number of frameworks for policy and funding of eHealth at European level, but no specific collaboration focused on empowerment aspects. </w:t>
            </w:r>
          </w:p>
        </w:tc>
        <w:tc>
          <w:tcPr>
            <w:tcW w:w="3402" w:type="dxa"/>
          </w:tcPr>
          <w:p w14:paraId="43BEE017" w14:textId="451040C0" w:rsidR="001B6EF8" w:rsidRDefault="001B6EF8" w:rsidP="001B6EF8">
            <w:pPr>
              <w:spacing w:after="120"/>
              <w:rPr>
                <w:sz w:val="22"/>
              </w:rPr>
            </w:pPr>
            <w:r w:rsidRPr="001B6EF8">
              <w:rPr>
                <w:sz w:val="22"/>
              </w:rPr>
              <w:t xml:space="preserve">The European Innovation Partnership on Healthy and Active Ageing (EIP-AHA) could provide a framework for development, sharing and evaluation of </w:t>
            </w:r>
            <w:r>
              <w:rPr>
                <w:sz w:val="22"/>
              </w:rPr>
              <w:t xml:space="preserve">patient-driven </w:t>
            </w:r>
            <w:r w:rsidRPr="001B6EF8">
              <w:rPr>
                <w:sz w:val="22"/>
              </w:rPr>
              <w:t>solutions to support patient empowerment</w:t>
            </w:r>
            <w:r>
              <w:rPr>
                <w:sz w:val="22"/>
              </w:rPr>
              <w:t xml:space="preserve">. </w:t>
            </w:r>
          </w:p>
        </w:tc>
        <w:tc>
          <w:tcPr>
            <w:tcW w:w="1560" w:type="dxa"/>
          </w:tcPr>
          <w:p w14:paraId="0CA7B3FE" w14:textId="77777777" w:rsidR="001B6EF8" w:rsidRDefault="001B6EF8" w:rsidP="00FC0FC5">
            <w:pPr>
              <w:rPr>
                <w:sz w:val="22"/>
              </w:rPr>
            </w:pPr>
          </w:p>
        </w:tc>
      </w:tr>
    </w:tbl>
    <w:p w14:paraId="690DB217" w14:textId="77777777" w:rsidR="00B42B7A" w:rsidRDefault="00B42B7A" w:rsidP="00171CFF">
      <w:pPr>
        <w:tabs>
          <w:tab w:val="left" w:pos="5763"/>
        </w:tabs>
        <w:spacing w:after="60"/>
        <w:ind w:left="392"/>
        <w:rPr>
          <w:color w:val="FF0000"/>
          <w:sz w:val="22"/>
        </w:rPr>
      </w:pPr>
    </w:p>
    <w:p w14:paraId="0B49A4CE" w14:textId="3EF1EF13" w:rsidR="006B4968" w:rsidRDefault="006B4968" w:rsidP="00D35C3C">
      <w:pPr>
        <w:pStyle w:val="Heading2"/>
        <w:spacing w:before="0" w:after="240" w:line="240" w:lineRule="auto"/>
        <w:rPr>
          <w:color w:val="1F3864" w:themeColor="accent5" w:themeShade="80"/>
          <w:sz w:val="28"/>
        </w:rPr>
      </w:pPr>
      <w:bookmarkStart w:id="8" w:name="_Toc447113221"/>
      <w:r>
        <w:rPr>
          <w:color w:val="1F3864" w:themeColor="accent5" w:themeShade="80"/>
          <w:sz w:val="28"/>
        </w:rPr>
        <w:lastRenderedPageBreak/>
        <w:t>Priority area 6: Patient involvement in patient safety</w:t>
      </w:r>
      <w:bookmarkEnd w:id="8"/>
    </w:p>
    <w:p w14:paraId="2344221E" w14:textId="23A99BDE" w:rsidR="006B4968" w:rsidRPr="00634D74" w:rsidRDefault="006B4968" w:rsidP="007B1F19">
      <w:pPr>
        <w:pStyle w:val="ListParagraph"/>
        <w:ind w:left="0"/>
        <w:contextualSpacing w:val="0"/>
        <w:jc w:val="both"/>
        <w:rPr>
          <w:rFonts w:cs="Arial"/>
          <w:i/>
          <w:color w:val="231F20"/>
        </w:rPr>
      </w:pPr>
      <w:r w:rsidRPr="00774C39">
        <w:rPr>
          <w:rFonts w:cs="Arial"/>
          <w:color w:val="231F20"/>
        </w:rPr>
        <w:t>Patient safety is both a goal (a state of being that is free from unnecessary harm) and a practice (processes and structures that aim to make healthcare safer). Patient safety is</w:t>
      </w:r>
      <w:r w:rsidR="00AB393B">
        <w:rPr>
          <w:rFonts w:cs="Arial"/>
          <w:color w:val="231F20"/>
        </w:rPr>
        <w:t xml:space="preserve"> a fundamental </w:t>
      </w:r>
      <w:r w:rsidRPr="00774C39">
        <w:rPr>
          <w:rFonts w:cs="Arial"/>
          <w:color w:val="231F20"/>
        </w:rPr>
        <w:t>attribute of quality of care. Safety covers everything from harm caused as a result of a wrong diagnosis, clinical procedure or decision, to the side-effects of drugs, hazards posed by medical devices or sub-standard products, human shortcomings, and system errors</w:t>
      </w:r>
      <w:r w:rsidR="003A6EFD">
        <w:rPr>
          <w:rFonts w:cs="Arial"/>
          <w:color w:val="231F20"/>
        </w:rPr>
        <w:t xml:space="preserve">, in all kinds of health care settings. </w:t>
      </w:r>
      <w:r w:rsidR="00634D74" w:rsidRPr="00634D74">
        <w:rPr>
          <w:rFonts w:cs="Arial"/>
          <w:i/>
          <w:color w:val="231F20"/>
        </w:rPr>
        <w:t>(some figures can be added in the final layout – “fact box”)</w:t>
      </w:r>
    </w:p>
    <w:p w14:paraId="5CC4F551" w14:textId="2A53C69E" w:rsidR="00AB393B" w:rsidRDefault="006B4968" w:rsidP="007B1F19">
      <w:pPr>
        <w:jc w:val="both"/>
      </w:pPr>
      <w:r w:rsidRPr="00774C39">
        <w:t xml:space="preserve">Addressing safety means ensuring that the healthcare system or organisation takes all possible measures to prevent vulnerabilities, and when errors do happen they are recognised and fully investigated and lead to action in order to prevent future errors. </w:t>
      </w:r>
      <w:r w:rsidR="00AB393B" w:rsidRPr="00774C39">
        <w:t>D</w:t>
      </w:r>
      <w:r w:rsidRPr="00774C39">
        <w:t>eveloping</w:t>
      </w:r>
      <w:r w:rsidR="00AB393B">
        <w:t xml:space="preserve"> </w:t>
      </w:r>
      <w:r w:rsidRPr="00774C39">
        <w:t xml:space="preserve">a </w:t>
      </w:r>
      <w:r w:rsidR="00AB393B">
        <w:t>“</w:t>
      </w:r>
      <w:r w:rsidRPr="00774C39">
        <w:t>patient safety culture</w:t>
      </w:r>
      <w:r w:rsidR="00AB393B">
        <w:t>” is vital</w:t>
      </w:r>
      <w:r w:rsidRPr="00774C39">
        <w:rPr>
          <w:rStyle w:val="EndnoteReference"/>
        </w:rPr>
        <w:endnoteReference w:id="28"/>
      </w:r>
      <w:r w:rsidRPr="00774C39">
        <w:t xml:space="preserve"> </w:t>
      </w:r>
      <w:r w:rsidR="00AB393B">
        <w:t>and this involves the recognition that s</w:t>
      </w:r>
      <w:r w:rsidR="009218C1" w:rsidRPr="00774C39">
        <w:t xml:space="preserve">afety is everyone’s business – including patients and their families’. </w:t>
      </w:r>
    </w:p>
    <w:p w14:paraId="5FAEEFCE" w14:textId="53F1108D" w:rsidR="009218C1" w:rsidRPr="00774C39" w:rsidRDefault="009218C1" w:rsidP="00AB393B">
      <w:pPr>
        <w:spacing w:after="240"/>
        <w:jc w:val="both"/>
      </w:pPr>
      <w:r w:rsidRPr="00774C39">
        <w:t xml:space="preserve">Patients are a source of information about failures and gaps in the system during the “patient journey”. They can help improve their own safety and that of others, for example by becoming health literate and actively involved in managing their own condition. They can also help improve services overall to make them more patient-centred. Involving patients implies a </w:t>
      </w:r>
      <w:r w:rsidR="00AB393B">
        <w:t xml:space="preserve">change in medical culture where </w:t>
      </w:r>
      <w:r w:rsidRPr="00774C39">
        <w:t xml:space="preserve">professionals, managers, </w:t>
      </w:r>
      <w:r w:rsidR="00AB393B">
        <w:t xml:space="preserve">and </w:t>
      </w:r>
      <w:r w:rsidRPr="00774C39">
        <w:t xml:space="preserve">policy-makers </w:t>
      </w:r>
      <w:r w:rsidR="00AB393B">
        <w:t xml:space="preserve">need to </w:t>
      </w:r>
      <w:r w:rsidRPr="00774C39">
        <w:t>listen</w:t>
      </w:r>
      <w:r w:rsidR="00AB393B">
        <w:t xml:space="preserve"> </w:t>
      </w:r>
      <w:r w:rsidRPr="00774C39">
        <w:t xml:space="preserve">to patients, take their </w:t>
      </w:r>
      <w:r w:rsidR="00E73C5F">
        <w:t xml:space="preserve">observations and </w:t>
      </w:r>
      <w:r w:rsidRPr="00774C39">
        <w:t>concerns seriously, accept them as equal partners and encourage feedback and involvement at all levels. However, involving patients should not mean shifting the burden of responsibility on them in an inappropriate way.</w:t>
      </w:r>
    </w:p>
    <w:tbl>
      <w:tblPr>
        <w:tblStyle w:val="TableGrid"/>
        <w:tblW w:w="9072" w:type="dxa"/>
        <w:tblInd w:w="-5" w:type="dxa"/>
        <w:tblLook w:val="04A0" w:firstRow="1" w:lastRow="0" w:firstColumn="1" w:lastColumn="0" w:noHBand="0" w:noVBand="1"/>
      </w:tblPr>
      <w:tblGrid>
        <w:gridCol w:w="5103"/>
        <w:gridCol w:w="2694"/>
        <w:gridCol w:w="1275"/>
      </w:tblGrid>
      <w:tr w:rsidR="00FC0FC5" w:rsidRPr="00544F53" w14:paraId="13FAFBDD" w14:textId="77777777" w:rsidTr="005C67A0">
        <w:trPr>
          <w:trHeight w:val="536"/>
        </w:trPr>
        <w:tc>
          <w:tcPr>
            <w:tcW w:w="5103" w:type="dxa"/>
            <w:shd w:val="clear" w:color="auto" w:fill="AFD7FF"/>
          </w:tcPr>
          <w:p w14:paraId="3C754BC3" w14:textId="77777777" w:rsidR="00FC0FC5" w:rsidRPr="00544F53" w:rsidRDefault="00FC0FC5" w:rsidP="00FC0FC5">
            <w:pPr>
              <w:spacing w:after="40"/>
              <w:rPr>
                <w:b/>
                <w:sz w:val="22"/>
              </w:rPr>
            </w:pPr>
            <w:r w:rsidRPr="00544F53">
              <w:rPr>
                <w:b/>
                <w:sz w:val="22"/>
              </w:rPr>
              <w:t xml:space="preserve">Action </w:t>
            </w:r>
          </w:p>
        </w:tc>
        <w:tc>
          <w:tcPr>
            <w:tcW w:w="2694" w:type="dxa"/>
            <w:shd w:val="clear" w:color="auto" w:fill="AFD7FF"/>
          </w:tcPr>
          <w:p w14:paraId="7AE84B4F" w14:textId="77777777" w:rsidR="00FC0FC5" w:rsidRPr="00544F53" w:rsidRDefault="00FC0FC5" w:rsidP="00FC0FC5">
            <w:pPr>
              <w:spacing w:after="40"/>
              <w:rPr>
                <w:b/>
                <w:sz w:val="22"/>
              </w:rPr>
            </w:pPr>
            <w:r w:rsidRPr="00544F53">
              <w:rPr>
                <w:b/>
                <w:sz w:val="22"/>
              </w:rPr>
              <w:t>Objective/example of achievement</w:t>
            </w:r>
          </w:p>
        </w:tc>
        <w:tc>
          <w:tcPr>
            <w:tcW w:w="1275" w:type="dxa"/>
            <w:shd w:val="clear" w:color="auto" w:fill="AFD7FF"/>
          </w:tcPr>
          <w:p w14:paraId="3C9DFCE0" w14:textId="77777777" w:rsidR="00FC0FC5" w:rsidRPr="00544F53" w:rsidRDefault="00FC0FC5" w:rsidP="00FC0FC5">
            <w:pPr>
              <w:spacing w:after="40"/>
              <w:rPr>
                <w:b/>
                <w:sz w:val="22"/>
              </w:rPr>
            </w:pPr>
            <w:r w:rsidRPr="00544F53">
              <w:rPr>
                <w:b/>
                <w:sz w:val="22"/>
              </w:rPr>
              <w:t xml:space="preserve">Time frame </w:t>
            </w:r>
          </w:p>
        </w:tc>
      </w:tr>
      <w:tr w:rsidR="00FC0FC5" w:rsidRPr="00E54540" w14:paraId="2F036C7B" w14:textId="77777777" w:rsidTr="005C67A0">
        <w:tc>
          <w:tcPr>
            <w:tcW w:w="5103" w:type="dxa"/>
          </w:tcPr>
          <w:p w14:paraId="1E9D02A3" w14:textId="78FA1031" w:rsidR="00FC0FC5" w:rsidRDefault="00FC0FC5" w:rsidP="001360F8">
            <w:pPr>
              <w:spacing w:after="120"/>
              <w:rPr>
                <w:sz w:val="22"/>
              </w:rPr>
            </w:pPr>
            <w:r w:rsidRPr="00FC0FC5">
              <w:rPr>
                <w:sz w:val="22"/>
              </w:rPr>
              <w:t xml:space="preserve">Enhance the capacity of patients and families to contribute to better patient safety </w:t>
            </w:r>
            <w:r w:rsidR="005C67A0">
              <w:rPr>
                <w:sz w:val="22"/>
              </w:rPr>
              <w:t xml:space="preserve">by implementation </w:t>
            </w:r>
            <w:r w:rsidRPr="00FC0FC5">
              <w:rPr>
                <w:sz w:val="22"/>
              </w:rPr>
              <w:t xml:space="preserve">of </w:t>
            </w:r>
            <w:r w:rsidR="001360F8">
              <w:rPr>
                <w:sz w:val="22"/>
              </w:rPr>
              <w:t xml:space="preserve">paragraph 2 (c) of the </w:t>
            </w:r>
            <w:r w:rsidRPr="00FC0FC5">
              <w:rPr>
                <w:sz w:val="22"/>
              </w:rPr>
              <w:t>2009 Council Recommendation</w:t>
            </w:r>
            <w:r w:rsidR="005C67A0">
              <w:rPr>
                <w:sz w:val="22"/>
              </w:rPr>
              <w:t xml:space="preserve"> on patient safety</w:t>
            </w:r>
            <w:r w:rsidR="001360F8">
              <w:t xml:space="preserve"> </w:t>
            </w:r>
            <w:r w:rsidR="001360F8" w:rsidRPr="001360F8">
              <w:rPr>
                <w:sz w:val="22"/>
              </w:rPr>
              <w:t>(2009/C 151/01)</w:t>
            </w:r>
            <w:r w:rsidR="005C67A0">
              <w:rPr>
                <w:sz w:val="22"/>
              </w:rPr>
              <w:t>.</w:t>
            </w:r>
            <w:r w:rsidRPr="00FC0FC5">
              <w:rPr>
                <w:sz w:val="22"/>
              </w:rPr>
              <w:t xml:space="preserve"> </w:t>
            </w:r>
          </w:p>
        </w:tc>
        <w:tc>
          <w:tcPr>
            <w:tcW w:w="2694" w:type="dxa"/>
          </w:tcPr>
          <w:p w14:paraId="087AE748" w14:textId="26589277" w:rsidR="00FC0FC5" w:rsidRPr="00BB2456" w:rsidRDefault="00FC0FC5" w:rsidP="001360F8">
            <w:pPr>
              <w:spacing w:after="120"/>
              <w:rPr>
                <w:sz w:val="22"/>
              </w:rPr>
            </w:pPr>
            <w:r w:rsidRPr="00FC0FC5">
              <w:rPr>
                <w:sz w:val="22"/>
              </w:rPr>
              <w:t>EPF working group together with experts</w:t>
            </w:r>
            <w:r w:rsidR="005C67A0">
              <w:rPr>
                <w:sz w:val="22"/>
              </w:rPr>
              <w:t xml:space="preserve"> will develop</w:t>
            </w:r>
            <w:r w:rsidR="005C67A0">
              <w:t xml:space="preserve"> </w:t>
            </w:r>
            <w:r w:rsidR="005C67A0">
              <w:rPr>
                <w:sz w:val="22"/>
              </w:rPr>
              <w:t>a</w:t>
            </w:r>
            <w:r w:rsidR="005C67A0" w:rsidRPr="005C67A0">
              <w:rPr>
                <w:sz w:val="22"/>
              </w:rPr>
              <w:t xml:space="preserve"> set of “core competencies”</w:t>
            </w:r>
            <w:r w:rsidR="001360F8">
              <w:rPr>
                <w:sz w:val="22"/>
              </w:rPr>
              <w:t xml:space="preserve"> in 2017.</w:t>
            </w:r>
          </w:p>
        </w:tc>
        <w:tc>
          <w:tcPr>
            <w:tcW w:w="1275" w:type="dxa"/>
          </w:tcPr>
          <w:p w14:paraId="6E07743E" w14:textId="226A0787" w:rsidR="00FC0FC5" w:rsidRDefault="001360F8" w:rsidP="00FC0FC5">
            <w:pPr>
              <w:spacing w:after="120"/>
              <w:rPr>
                <w:sz w:val="22"/>
              </w:rPr>
            </w:pPr>
            <w:r>
              <w:rPr>
                <w:sz w:val="22"/>
              </w:rPr>
              <w:t>Short</w:t>
            </w:r>
          </w:p>
        </w:tc>
      </w:tr>
      <w:tr w:rsidR="00FC0FC5" w:rsidRPr="00E54540" w14:paraId="44619DAF" w14:textId="77777777" w:rsidTr="005C67A0">
        <w:tc>
          <w:tcPr>
            <w:tcW w:w="5103" w:type="dxa"/>
            <w:shd w:val="clear" w:color="auto" w:fill="DDEEFF"/>
          </w:tcPr>
          <w:p w14:paraId="31656B33" w14:textId="10FCF13C" w:rsidR="00FC0FC5" w:rsidRDefault="008C5741" w:rsidP="001360F8">
            <w:pPr>
              <w:spacing w:after="120"/>
              <w:rPr>
                <w:sz w:val="22"/>
              </w:rPr>
            </w:pPr>
            <w:r w:rsidRPr="008C5741">
              <w:rPr>
                <w:sz w:val="22"/>
              </w:rPr>
              <w:t>Develop best practice for dealing with the aftermath of adverse events from the patient perspective</w:t>
            </w:r>
            <w:r w:rsidR="001360F8">
              <w:rPr>
                <w:sz w:val="22"/>
              </w:rPr>
              <w:t>, including</w:t>
            </w:r>
            <w:r w:rsidRPr="008C5741">
              <w:rPr>
                <w:sz w:val="22"/>
              </w:rPr>
              <w:t xml:space="preserve"> transparency, communication with patients and families, involving patients and families in root cause analysis, and action for improvement</w:t>
            </w:r>
            <w:r w:rsidR="00FC0FC5">
              <w:rPr>
                <w:sz w:val="22"/>
              </w:rPr>
              <w:t>.</w:t>
            </w:r>
          </w:p>
        </w:tc>
        <w:tc>
          <w:tcPr>
            <w:tcW w:w="2694" w:type="dxa"/>
            <w:shd w:val="clear" w:color="auto" w:fill="DDEEFF"/>
          </w:tcPr>
          <w:p w14:paraId="1ACE4611" w14:textId="39F5601E" w:rsidR="00FC0FC5" w:rsidRPr="00BB2456" w:rsidRDefault="001360F8" w:rsidP="008C5741">
            <w:pPr>
              <w:spacing w:after="120"/>
              <w:rPr>
                <w:sz w:val="22"/>
              </w:rPr>
            </w:pPr>
            <w:r>
              <w:rPr>
                <w:sz w:val="22"/>
              </w:rPr>
              <w:t>This issue will be addressed in EPF’s conference on patient safety in 2016.</w:t>
            </w:r>
          </w:p>
        </w:tc>
        <w:tc>
          <w:tcPr>
            <w:tcW w:w="1275" w:type="dxa"/>
            <w:shd w:val="clear" w:color="auto" w:fill="DDEEFF"/>
          </w:tcPr>
          <w:p w14:paraId="7662B90A" w14:textId="77777777" w:rsidR="00FC0FC5" w:rsidRDefault="00FC0FC5" w:rsidP="00FC0FC5">
            <w:pPr>
              <w:spacing w:after="120"/>
              <w:rPr>
                <w:sz w:val="22"/>
              </w:rPr>
            </w:pPr>
          </w:p>
        </w:tc>
      </w:tr>
      <w:tr w:rsidR="008C5741" w:rsidRPr="00E54540" w14:paraId="62C4E5BE" w14:textId="77777777" w:rsidTr="005C67A0">
        <w:tc>
          <w:tcPr>
            <w:tcW w:w="5103" w:type="dxa"/>
            <w:shd w:val="clear" w:color="auto" w:fill="auto"/>
          </w:tcPr>
          <w:p w14:paraId="4ECBD93A" w14:textId="4AF7D463" w:rsidR="008C5741" w:rsidRPr="008C5741" w:rsidRDefault="008C5741" w:rsidP="00E73C5F">
            <w:pPr>
              <w:spacing w:after="120"/>
              <w:rPr>
                <w:sz w:val="22"/>
              </w:rPr>
            </w:pPr>
            <w:r>
              <w:rPr>
                <w:sz w:val="22"/>
              </w:rPr>
              <w:t xml:space="preserve">All </w:t>
            </w:r>
            <w:r w:rsidRPr="008C5741">
              <w:rPr>
                <w:sz w:val="22"/>
              </w:rPr>
              <w:t xml:space="preserve">Member states should </w:t>
            </w:r>
            <w:r w:rsidR="001360F8">
              <w:rPr>
                <w:sz w:val="22"/>
              </w:rPr>
              <w:t xml:space="preserve">implement the 2009 CR and </w:t>
            </w:r>
            <w:r w:rsidRPr="008C5741">
              <w:rPr>
                <w:sz w:val="22"/>
              </w:rPr>
              <w:t>involve patient organisations and representatives in the development of policies and programmes on safety</w:t>
            </w:r>
            <w:r>
              <w:rPr>
                <w:sz w:val="22"/>
              </w:rPr>
              <w:t>, including prevention of healthcare associated infections.</w:t>
            </w:r>
          </w:p>
        </w:tc>
        <w:tc>
          <w:tcPr>
            <w:tcW w:w="2694" w:type="dxa"/>
            <w:shd w:val="clear" w:color="auto" w:fill="auto"/>
          </w:tcPr>
          <w:p w14:paraId="7D59550B" w14:textId="77777777" w:rsidR="008C5741" w:rsidRPr="00BB2456" w:rsidRDefault="008C5741" w:rsidP="008C5741">
            <w:pPr>
              <w:rPr>
                <w:sz w:val="22"/>
              </w:rPr>
            </w:pPr>
          </w:p>
        </w:tc>
        <w:tc>
          <w:tcPr>
            <w:tcW w:w="1275" w:type="dxa"/>
            <w:shd w:val="clear" w:color="auto" w:fill="auto"/>
          </w:tcPr>
          <w:p w14:paraId="67207211" w14:textId="77777777" w:rsidR="008C5741" w:rsidRDefault="008C5741" w:rsidP="00FC0FC5">
            <w:pPr>
              <w:rPr>
                <w:sz w:val="22"/>
              </w:rPr>
            </w:pPr>
          </w:p>
        </w:tc>
      </w:tr>
      <w:tr w:rsidR="008C5741" w:rsidRPr="00E54540" w14:paraId="694811F9" w14:textId="77777777" w:rsidTr="005C67A0">
        <w:tc>
          <w:tcPr>
            <w:tcW w:w="5103" w:type="dxa"/>
            <w:shd w:val="clear" w:color="auto" w:fill="DDEEFF"/>
          </w:tcPr>
          <w:p w14:paraId="7D976E5A" w14:textId="64BDE9DF" w:rsidR="008C5741" w:rsidRDefault="001360F8" w:rsidP="001360F8">
            <w:pPr>
              <w:spacing w:after="120"/>
              <w:rPr>
                <w:sz w:val="22"/>
              </w:rPr>
            </w:pPr>
            <w:r>
              <w:rPr>
                <w:sz w:val="22"/>
              </w:rPr>
              <w:t>A</w:t>
            </w:r>
            <w:r w:rsidR="008C5741" w:rsidRPr="008C5741">
              <w:rPr>
                <w:sz w:val="22"/>
              </w:rPr>
              <w:t xml:space="preserve"> permanent EU framework for collaboration on patient safety</w:t>
            </w:r>
            <w:r>
              <w:rPr>
                <w:sz w:val="22"/>
              </w:rPr>
              <w:t xml:space="preserve"> and quality should be ensured, involving </w:t>
            </w:r>
            <w:r w:rsidR="008C5741" w:rsidRPr="008C5741">
              <w:rPr>
                <w:sz w:val="22"/>
              </w:rPr>
              <w:t xml:space="preserve">member states and stakeholders </w:t>
            </w:r>
            <w:r>
              <w:rPr>
                <w:sz w:val="22"/>
              </w:rPr>
              <w:t xml:space="preserve">and building on the achievements of the </w:t>
            </w:r>
            <w:r w:rsidR="008C5741" w:rsidRPr="008C5741">
              <w:rPr>
                <w:sz w:val="22"/>
              </w:rPr>
              <w:t xml:space="preserve">PASQ </w:t>
            </w:r>
            <w:r>
              <w:rPr>
                <w:sz w:val="22"/>
              </w:rPr>
              <w:t>J</w:t>
            </w:r>
            <w:r w:rsidR="008C5741" w:rsidRPr="008C5741">
              <w:rPr>
                <w:sz w:val="22"/>
              </w:rPr>
              <w:t xml:space="preserve">oint </w:t>
            </w:r>
            <w:r>
              <w:rPr>
                <w:sz w:val="22"/>
              </w:rPr>
              <w:t>A</w:t>
            </w:r>
            <w:r w:rsidR="008C5741" w:rsidRPr="008C5741">
              <w:rPr>
                <w:sz w:val="22"/>
              </w:rPr>
              <w:t>ction</w:t>
            </w:r>
            <w:r w:rsidR="008C5741">
              <w:rPr>
                <w:sz w:val="22"/>
              </w:rPr>
              <w:t>.</w:t>
            </w:r>
            <w:r>
              <w:rPr>
                <w:sz w:val="22"/>
              </w:rPr>
              <w:t xml:space="preserve"> </w:t>
            </w:r>
          </w:p>
        </w:tc>
        <w:tc>
          <w:tcPr>
            <w:tcW w:w="2694" w:type="dxa"/>
            <w:shd w:val="clear" w:color="auto" w:fill="DDEEFF"/>
          </w:tcPr>
          <w:p w14:paraId="35715F44" w14:textId="64C1EC06" w:rsidR="008C5741" w:rsidRPr="00BB2456" w:rsidRDefault="001360F8" w:rsidP="008C5741">
            <w:pPr>
              <w:rPr>
                <w:sz w:val="22"/>
              </w:rPr>
            </w:pPr>
            <w:r>
              <w:rPr>
                <w:sz w:val="22"/>
              </w:rPr>
              <w:t>EU work programme – health programme.</w:t>
            </w:r>
          </w:p>
        </w:tc>
        <w:tc>
          <w:tcPr>
            <w:tcW w:w="1275" w:type="dxa"/>
            <w:shd w:val="clear" w:color="auto" w:fill="DDEEFF"/>
          </w:tcPr>
          <w:p w14:paraId="5960952F" w14:textId="77777777" w:rsidR="008C5741" w:rsidRDefault="008C5741" w:rsidP="00FC0FC5">
            <w:pPr>
              <w:rPr>
                <w:sz w:val="22"/>
              </w:rPr>
            </w:pPr>
          </w:p>
        </w:tc>
      </w:tr>
      <w:tr w:rsidR="008C5741" w:rsidRPr="00E54540" w14:paraId="02260AB1" w14:textId="77777777" w:rsidTr="005C67A0">
        <w:tc>
          <w:tcPr>
            <w:tcW w:w="5103" w:type="dxa"/>
            <w:shd w:val="clear" w:color="auto" w:fill="auto"/>
          </w:tcPr>
          <w:p w14:paraId="449A94C5" w14:textId="559ABD92" w:rsidR="008C5741" w:rsidRPr="008C5741" w:rsidRDefault="008C5741" w:rsidP="00E73C5F">
            <w:pPr>
              <w:spacing w:after="120"/>
              <w:rPr>
                <w:sz w:val="22"/>
              </w:rPr>
            </w:pPr>
            <w:r>
              <w:rPr>
                <w:sz w:val="22"/>
              </w:rPr>
              <w:lastRenderedPageBreak/>
              <w:t>Empathie recommendation</w:t>
            </w:r>
            <w:r w:rsidR="00DB3B76">
              <w:rPr>
                <w:sz w:val="22"/>
              </w:rPr>
              <w:t>s</w:t>
            </w:r>
            <w:r>
              <w:rPr>
                <w:sz w:val="22"/>
              </w:rPr>
              <w:t xml:space="preserve"> on transparency</w:t>
            </w:r>
            <w:r w:rsidR="00DB3B76">
              <w:rPr>
                <w:sz w:val="22"/>
              </w:rPr>
              <w:t xml:space="preserve"> of quality and safety information</w:t>
            </w:r>
          </w:p>
        </w:tc>
        <w:tc>
          <w:tcPr>
            <w:tcW w:w="2694" w:type="dxa"/>
            <w:shd w:val="clear" w:color="auto" w:fill="auto"/>
          </w:tcPr>
          <w:p w14:paraId="794A26ED" w14:textId="22FC32E4" w:rsidR="008C5741" w:rsidRPr="00BB2456" w:rsidRDefault="00E73C5F" w:rsidP="008C5741">
            <w:pPr>
              <w:rPr>
                <w:sz w:val="22"/>
              </w:rPr>
            </w:pPr>
            <w:r>
              <w:rPr>
                <w:sz w:val="22"/>
              </w:rPr>
              <w:t>implementation of the cross-border healthcare directive</w:t>
            </w:r>
          </w:p>
        </w:tc>
        <w:tc>
          <w:tcPr>
            <w:tcW w:w="1275" w:type="dxa"/>
            <w:shd w:val="clear" w:color="auto" w:fill="auto"/>
          </w:tcPr>
          <w:p w14:paraId="2CC44F61" w14:textId="77777777" w:rsidR="008C5741" w:rsidRDefault="008C5741" w:rsidP="00FC0FC5">
            <w:pPr>
              <w:rPr>
                <w:sz w:val="22"/>
              </w:rPr>
            </w:pPr>
          </w:p>
        </w:tc>
      </w:tr>
    </w:tbl>
    <w:p w14:paraId="6B7969D4" w14:textId="77777777" w:rsidR="008C5741" w:rsidRDefault="008C5741" w:rsidP="008E38A5">
      <w:pPr>
        <w:pStyle w:val="Heading2"/>
        <w:spacing w:before="0" w:after="120" w:line="240" w:lineRule="auto"/>
        <w:ind w:left="142"/>
        <w:rPr>
          <w:color w:val="1F3864" w:themeColor="accent5" w:themeShade="80"/>
          <w:sz w:val="28"/>
        </w:rPr>
      </w:pPr>
    </w:p>
    <w:p w14:paraId="45DE7F22" w14:textId="2BDDEB91" w:rsidR="009218C1" w:rsidRDefault="009218C1" w:rsidP="008E38A5">
      <w:pPr>
        <w:pStyle w:val="Heading2"/>
        <w:spacing w:before="0" w:after="120" w:line="240" w:lineRule="auto"/>
        <w:ind w:left="142"/>
        <w:rPr>
          <w:color w:val="1F3864" w:themeColor="accent5" w:themeShade="80"/>
          <w:sz w:val="28"/>
        </w:rPr>
      </w:pPr>
    </w:p>
    <w:p w14:paraId="664A9C3B" w14:textId="77777777" w:rsidR="008C5741" w:rsidRDefault="008C5741" w:rsidP="00D35C3C">
      <w:pPr>
        <w:pStyle w:val="Heading2"/>
        <w:spacing w:before="0" w:after="240" w:line="240" w:lineRule="auto"/>
        <w:rPr>
          <w:color w:val="1F3864" w:themeColor="accent5" w:themeShade="80"/>
          <w:sz w:val="28"/>
        </w:rPr>
      </w:pPr>
      <w:bookmarkStart w:id="9" w:name="_Toc447113222"/>
      <w:r>
        <w:rPr>
          <w:color w:val="1F3864" w:themeColor="accent5" w:themeShade="80"/>
          <w:sz w:val="28"/>
        </w:rPr>
        <w:br w:type="page"/>
      </w:r>
    </w:p>
    <w:p w14:paraId="03C01173" w14:textId="35BB1CBF" w:rsidR="00B33EA8" w:rsidRPr="008E38A5" w:rsidRDefault="007B1F19" w:rsidP="00D35C3C">
      <w:pPr>
        <w:pStyle w:val="Heading2"/>
        <w:spacing w:before="0" w:after="240" w:line="240" w:lineRule="auto"/>
        <w:rPr>
          <w:color w:val="1F3864" w:themeColor="accent5" w:themeShade="80"/>
          <w:sz w:val="28"/>
        </w:rPr>
      </w:pPr>
      <w:r>
        <w:rPr>
          <w:color w:val="1F3864" w:themeColor="accent5" w:themeShade="80"/>
          <w:sz w:val="28"/>
        </w:rPr>
        <w:lastRenderedPageBreak/>
        <w:t xml:space="preserve">Priority area 7: Improving the </w:t>
      </w:r>
      <w:r w:rsidR="00B33EA8" w:rsidRPr="008E38A5">
        <w:rPr>
          <w:color w:val="1F3864" w:themeColor="accent5" w:themeShade="80"/>
          <w:sz w:val="28"/>
        </w:rPr>
        <w:t xml:space="preserve">quality </w:t>
      </w:r>
      <w:r>
        <w:rPr>
          <w:color w:val="1F3864" w:themeColor="accent5" w:themeShade="80"/>
          <w:sz w:val="28"/>
        </w:rPr>
        <w:t>of care</w:t>
      </w:r>
      <w:bookmarkEnd w:id="9"/>
      <w:r>
        <w:rPr>
          <w:color w:val="1F3864" w:themeColor="accent5" w:themeShade="80"/>
          <w:sz w:val="28"/>
        </w:rPr>
        <w:t xml:space="preserve"> </w:t>
      </w:r>
    </w:p>
    <w:p w14:paraId="5218AED0" w14:textId="54F12470" w:rsidR="005426DA" w:rsidRPr="00774C39" w:rsidRDefault="005426DA" w:rsidP="008C5FDC">
      <w:pPr>
        <w:jc w:val="both"/>
        <w:rPr>
          <w:rFonts w:cs="Arial"/>
          <w:color w:val="231F20"/>
        </w:rPr>
      </w:pPr>
      <w:r w:rsidRPr="00774C39">
        <w:rPr>
          <w:i/>
        </w:rPr>
        <w:t>Patient or person-centredness</w:t>
      </w:r>
      <w:r w:rsidRPr="00774C39">
        <w:t xml:space="preserve"> is increasingly recognised as a core component of quality in healthcare. </w:t>
      </w:r>
      <w:r w:rsidRPr="00774C39">
        <w:rPr>
          <w:rFonts w:cs="Arial"/>
          <w:color w:val="231F20"/>
        </w:rPr>
        <w:t>Patient-centredness involves not only being responsive to patients’ needs and preferences, but also empowering patients and their families to enable the participation as active and equal participants in the care process. It also requires a seamless integration of the different aspects of health (and social) care around families’ needs.</w:t>
      </w:r>
    </w:p>
    <w:p w14:paraId="3BB71898" w14:textId="77777777" w:rsidR="008C5FDC" w:rsidRDefault="005426DA" w:rsidP="008C5FDC">
      <w:pPr>
        <w:pStyle w:val="ListParagraph"/>
        <w:ind w:left="0"/>
        <w:contextualSpacing w:val="0"/>
        <w:jc w:val="both"/>
      </w:pPr>
      <w:r w:rsidRPr="00774C39">
        <w:rPr>
          <w:rFonts w:cs="Arial"/>
          <w:color w:val="231F20"/>
        </w:rPr>
        <w:t>An accurate elicitation of the patients’ needs and preferences is a fundamental starting point for a re-design of care in order to become more patient-centred.</w:t>
      </w:r>
      <w:r w:rsidR="005F190D" w:rsidRPr="00774C39">
        <w:rPr>
          <w:rFonts w:cs="Arial"/>
          <w:color w:val="231F20"/>
        </w:rPr>
        <w:t xml:space="preserve"> </w:t>
      </w:r>
      <w:r w:rsidR="005F190D" w:rsidRPr="00774C39">
        <w:t xml:space="preserve">Indicators </w:t>
      </w:r>
      <w:r w:rsidR="008C5FDC">
        <w:t xml:space="preserve">for healthcare quality exist, such as those collected by the </w:t>
      </w:r>
      <w:r w:rsidR="005F190D" w:rsidRPr="00774C39">
        <w:t>OECD and the European Community Health Indicators (ECHI); however</w:t>
      </w:r>
      <w:r w:rsidR="008C5FDC">
        <w:t xml:space="preserve"> there is currently</w:t>
      </w:r>
      <w:r w:rsidR="005F190D" w:rsidRPr="00774C39">
        <w:t xml:space="preserve"> no agreed</w:t>
      </w:r>
      <w:r w:rsidR="008C5FDC">
        <w:t xml:space="preserve"> way of measuring </w:t>
      </w:r>
      <w:r w:rsidR="005F190D" w:rsidRPr="00774C39">
        <w:t>patient-centredness or patient empowerment</w:t>
      </w:r>
      <w:r w:rsidR="008C5FDC">
        <w:t xml:space="preserve"> – partly because the concept is not amenable to quantification</w:t>
      </w:r>
      <w:r w:rsidR="005F190D" w:rsidRPr="00774C39">
        <w:t xml:space="preserve">. </w:t>
      </w:r>
    </w:p>
    <w:p w14:paraId="3AFE9245" w14:textId="333EAA96" w:rsidR="009265D1" w:rsidRPr="009265D1" w:rsidRDefault="005426DA" w:rsidP="009265D1">
      <w:pPr>
        <w:pStyle w:val="ListParagraph"/>
        <w:ind w:left="0"/>
        <w:contextualSpacing w:val="0"/>
        <w:jc w:val="both"/>
        <w:rPr>
          <w:rFonts w:cs="Arial"/>
          <w:color w:val="231F20"/>
        </w:rPr>
      </w:pPr>
      <w:r w:rsidRPr="00774C39">
        <w:rPr>
          <w:rFonts w:cs="Arial"/>
          <w:color w:val="231F20"/>
        </w:rPr>
        <w:t xml:space="preserve">There is a need for more systematic understanding about how patients define </w:t>
      </w:r>
      <w:r w:rsidR="008C5FDC">
        <w:rPr>
          <w:rFonts w:cs="Arial"/>
          <w:color w:val="231F20"/>
        </w:rPr>
        <w:t>“</w:t>
      </w:r>
      <w:r w:rsidRPr="00774C39">
        <w:rPr>
          <w:rFonts w:cs="Arial"/>
          <w:color w:val="231F20"/>
        </w:rPr>
        <w:t>quality</w:t>
      </w:r>
      <w:r w:rsidR="008C5FDC">
        <w:rPr>
          <w:rFonts w:cs="Arial"/>
          <w:color w:val="231F20"/>
        </w:rPr>
        <w:t>”</w:t>
      </w:r>
      <w:r w:rsidRPr="00774C39">
        <w:rPr>
          <w:rFonts w:cs="Arial"/>
          <w:color w:val="231F20"/>
        </w:rPr>
        <w:t xml:space="preserve"> </w:t>
      </w:r>
      <w:r w:rsidR="008C5FDC">
        <w:rPr>
          <w:rFonts w:cs="Arial"/>
          <w:color w:val="231F20"/>
        </w:rPr>
        <w:t xml:space="preserve">in </w:t>
      </w:r>
      <w:r w:rsidRPr="00774C39">
        <w:rPr>
          <w:rFonts w:cs="Arial"/>
          <w:color w:val="231F20"/>
        </w:rPr>
        <w:t xml:space="preserve">healthcare, </w:t>
      </w:r>
      <w:r w:rsidR="008C5FDC">
        <w:rPr>
          <w:rFonts w:cs="Arial"/>
          <w:color w:val="231F20"/>
        </w:rPr>
        <w:t xml:space="preserve">and how patient-centredness could be measured. </w:t>
      </w:r>
      <w:r w:rsidR="009265D1">
        <w:rPr>
          <w:rFonts w:cs="Arial"/>
          <w:color w:val="231F20"/>
        </w:rPr>
        <w:t xml:space="preserve">The patient experience is an important aspect that should be included beside clinical indicators in evaluations of healthcare quality. This implies </w:t>
      </w:r>
      <w:r w:rsidR="009265D1" w:rsidRPr="009265D1">
        <w:rPr>
          <w:rFonts w:cs="Arial"/>
          <w:color w:val="231F20"/>
        </w:rPr>
        <w:t>meaningful</w:t>
      </w:r>
      <w:r w:rsidR="009265D1">
        <w:rPr>
          <w:rFonts w:cs="Arial"/>
          <w:color w:val="231F20"/>
        </w:rPr>
        <w:t>,</w:t>
      </w:r>
      <w:r w:rsidR="009265D1" w:rsidRPr="009265D1">
        <w:rPr>
          <w:rFonts w:cs="Arial"/>
          <w:color w:val="231F20"/>
        </w:rPr>
        <w:t xml:space="preserve"> and if necessary qualitative</w:t>
      </w:r>
      <w:r w:rsidR="009265D1">
        <w:rPr>
          <w:rFonts w:cs="Arial"/>
          <w:color w:val="231F20"/>
        </w:rPr>
        <w:t>,</w:t>
      </w:r>
      <w:r w:rsidR="009265D1" w:rsidRPr="009265D1">
        <w:rPr>
          <w:rFonts w:cs="Arial"/>
          <w:color w:val="231F20"/>
        </w:rPr>
        <w:t xml:space="preserve"> measures </w:t>
      </w:r>
      <w:r w:rsidR="009265D1">
        <w:rPr>
          <w:rFonts w:cs="Arial"/>
          <w:color w:val="231F20"/>
        </w:rPr>
        <w:t xml:space="preserve">based on patient feedback </w:t>
      </w:r>
      <w:r w:rsidR="009265D1" w:rsidRPr="009265D1">
        <w:rPr>
          <w:rFonts w:cs="Arial"/>
          <w:color w:val="231F20"/>
        </w:rPr>
        <w:t xml:space="preserve">that can be analysed, acted upon and actually lead to </w:t>
      </w:r>
      <w:r w:rsidR="009265D1">
        <w:rPr>
          <w:rFonts w:cs="Arial"/>
          <w:color w:val="231F20"/>
        </w:rPr>
        <w:t>better care</w:t>
      </w:r>
      <w:r w:rsidR="009265D1" w:rsidRPr="009265D1">
        <w:rPr>
          <w:rFonts w:cs="Arial"/>
          <w:color w:val="231F20"/>
        </w:rPr>
        <w:t>.</w:t>
      </w:r>
    </w:p>
    <w:p w14:paraId="085AE7F1" w14:textId="638B03BC" w:rsidR="005F190D" w:rsidRPr="00774C39" w:rsidRDefault="008C5FDC" w:rsidP="00F95BC8">
      <w:pPr>
        <w:pStyle w:val="ListParagraph"/>
        <w:spacing w:after="240"/>
        <w:ind w:left="0"/>
        <w:contextualSpacing w:val="0"/>
        <w:jc w:val="both"/>
      </w:pPr>
      <w:r w:rsidRPr="00774C39">
        <w:t>Transparent and comparable information is one important tool to facilitate informed decision-making</w:t>
      </w:r>
      <w:r>
        <w:t>, accountability and improvement in healthcare quality.</w:t>
      </w:r>
      <w:r w:rsidRPr="00774C39">
        <w:t xml:space="preserve"> </w:t>
      </w:r>
      <w:r w:rsidR="005F190D" w:rsidRPr="008C5FDC">
        <w:t>Transparency</w:t>
      </w:r>
      <w:r>
        <w:t xml:space="preserve"> in </w:t>
      </w:r>
      <w:r w:rsidR="005F190D" w:rsidRPr="008C5FDC">
        <w:t>healthcare</w:t>
      </w:r>
      <w:r w:rsidR="005F190D" w:rsidRPr="00774C39">
        <w:t xml:space="preserve"> is </w:t>
      </w:r>
      <w:r>
        <w:t xml:space="preserve">being </w:t>
      </w:r>
      <w:r w:rsidR="005F190D" w:rsidRPr="00774C39">
        <w:t xml:space="preserve">driven by the recognition of the people’s right to information, the desire to bring about continuous improvement, and </w:t>
      </w:r>
      <w:r>
        <w:t xml:space="preserve">to </w:t>
      </w:r>
      <w:r w:rsidR="005F190D" w:rsidRPr="00774C39">
        <w:t xml:space="preserve">make it easier for patients to navigate the system. EU Directive 24/2011 on the application of patients’ rights in cross-border healthcare now requires Member States to make available information </w:t>
      </w:r>
      <w:r>
        <w:t xml:space="preserve">to patients </w:t>
      </w:r>
      <w:r w:rsidR="005F190D" w:rsidRPr="00774C39">
        <w:t>on quality and safety standards and guidelines. In order to be meaningful to patients, the information must be presented in a way that is relevant</w:t>
      </w:r>
      <w:r>
        <w:t xml:space="preserve">, comparable </w:t>
      </w:r>
      <w:r w:rsidR="005F190D" w:rsidRPr="00774C39">
        <w:t xml:space="preserve">and understandable </w:t>
      </w:r>
      <w:r>
        <w:t>to a layperson</w:t>
      </w:r>
      <w:r w:rsidR="005F190D" w:rsidRPr="00774C39">
        <w:t>.</w:t>
      </w:r>
    </w:p>
    <w:tbl>
      <w:tblPr>
        <w:tblStyle w:val="TableGrid"/>
        <w:tblW w:w="8931" w:type="dxa"/>
        <w:tblInd w:w="-5" w:type="dxa"/>
        <w:tblLook w:val="04A0" w:firstRow="1" w:lastRow="0" w:firstColumn="1" w:lastColumn="0" w:noHBand="0" w:noVBand="1"/>
      </w:tblPr>
      <w:tblGrid>
        <w:gridCol w:w="4820"/>
        <w:gridCol w:w="2551"/>
        <w:gridCol w:w="1560"/>
      </w:tblGrid>
      <w:tr w:rsidR="005C67A0" w:rsidRPr="00544F53" w14:paraId="6A7457D3" w14:textId="77777777" w:rsidTr="00625DF4">
        <w:trPr>
          <w:trHeight w:val="536"/>
        </w:trPr>
        <w:tc>
          <w:tcPr>
            <w:tcW w:w="4820" w:type="dxa"/>
            <w:shd w:val="clear" w:color="auto" w:fill="AFD7FF"/>
          </w:tcPr>
          <w:p w14:paraId="69EC4501" w14:textId="77777777" w:rsidR="005C67A0" w:rsidRPr="00544F53" w:rsidRDefault="005C67A0" w:rsidP="00886AF4">
            <w:pPr>
              <w:spacing w:after="40"/>
              <w:rPr>
                <w:b/>
                <w:sz w:val="22"/>
              </w:rPr>
            </w:pPr>
            <w:r w:rsidRPr="00544F53">
              <w:rPr>
                <w:b/>
                <w:sz w:val="22"/>
              </w:rPr>
              <w:t xml:space="preserve">Action </w:t>
            </w:r>
          </w:p>
        </w:tc>
        <w:tc>
          <w:tcPr>
            <w:tcW w:w="2551" w:type="dxa"/>
            <w:shd w:val="clear" w:color="auto" w:fill="AFD7FF"/>
          </w:tcPr>
          <w:p w14:paraId="282032B2" w14:textId="77777777" w:rsidR="005C67A0" w:rsidRPr="00544F53" w:rsidRDefault="005C67A0" w:rsidP="00886AF4">
            <w:pPr>
              <w:spacing w:after="40"/>
              <w:rPr>
                <w:b/>
                <w:sz w:val="22"/>
              </w:rPr>
            </w:pPr>
            <w:r w:rsidRPr="00544F53">
              <w:rPr>
                <w:b/>
                <w:sz w:val="22"/>
              </w:rPr>
              <w:t>Objective/example of achievement</w:t>
            </w:r>
          </w:p>
        </w:tc>
        <w:tc>
          <w:tcPr>
            <w:tcW w:w="1560" w:type="dxa"/>
            <w:shd w:val="clear" w:color="auto" w:fill="AFD7FF"/>
          </w:tcPr>
          <w:p w14:paraId="7645AFC0" w14:textId="77777777" w:rsidR="005C67A0" w:rsidRPr="00544F53" w:rsidRDefault="005C67A0" w:rsidP="00886AF4">
            <w:pPr>
              <w:spacing w:after="40"/>
              <w:rPr>
                <w:b/>
                <w:sz w:val="22"/>
              </w:rPr>
            </w:pPr>
            <w:r w:rsidRPr="00544F53">
              <w:rPr>
                <w:b/>
                <w:sz w:val="22"/>
              </w:rPr>
              <w:t xml:space="preserve">Time frame </w:t>
            </w:r>
          </w:p>
        </w:tc>
      </w:tr>
      <w:tr w:rsidR="005C67A0" w:rsidRPr="00E54540" w14:paraId="6E2E7B70" w14:textId="77777777" w:rsidTr="00625DF4">
        <w:tc>
          <w:tcPr>
            <w:tcW w:w="4820" w:type="dxa"/>
          </w:tcPr>
          <w:p w14:paraId="0C5A3C41" w14:textId="7A76A39F" w:rsidR="005C67A0" w:rsidRDefault="00CF0267" w:rsidP="00CF0267">
            <w:pPr>
              <w:spacing w:after="120"/>
              <w:rPr>
                <w:sz w:val="22"/>
              </w:rPr>
            </w:pPr>
            <w:r>
              <w:rPr>
                <w:sz w:val="22"/>
              </w:rPr>
              <w:t xml:space="preserve">Patient-centredness should be included </w:t>
            </w:r>
            <w:r w:rsidRPr="00CF0267">
              <w:rPr>
                <w:sz w:val="22"/>
              </w:rPr>
              <w:t xml:space="preserve">as a key metric under the EU </w:t>
            </w:r>
            <w:r>
              <w:rPr>
                <w:sz w:val="22"/>
              </w:rPr>
              <w:t>Health System Performance Framework (HSPA)</w:t>
            </w:r>
            <w:r w:rsidR="005C67A0">
              <w:rPr>
                <w:sz w:val="22"/>
              </w:rPr>
              <w:t>.</w:t>
            </w:r>
          </w:p>
        </w:tc>
        <w:tc>
          <w:tcPr>
            <w:tcW w:w="2551" w:type="dxa"/>
          </w:tcPr>
          <w:p w14:paraId="7CC65417" w14:textId="02EC20E8" w:rsidR="005C67A0" w:rsidRPr="00BB2456" w:rsidRDefault="005C67A0" w:rsidP="00886AF4">
            <w:pPr>
              <w:spacing w:after="120"/>
              <w:rPr>
                <w:sz w:val="22"/>
              </w:rPr>
            </w:pPr>
          </w:p>
        </w:tc>
        <w:tc>
          <w:tcPr>
            <w:tcW w:w="1560" w:type="dxa"/>
          </w:tcPr>
          <w:p w14:paraId="5F94E553" w14:textId="77777777" w:rsidR="005C67A0" w:rsidRDefault="005C67A0" w:rsidP="00886AF4">
            <w:pPr>
              <w:spacing w:after="120"/>
              <w:rPr>
                <w:sz w:val="22"/>
              </w:rPr>
            </w:pPr>
          </w:p>
        </w:tc>
      </w:tr>
      <w:tr w:rsidR="00CF0267" w:rsidRPr="00E54540" w14:paraId="5FAE123A" w14:textId="77777777" w:rsidTr="00910E6C">
        <w:tc>
          <w:tcPr>
            <w:tcW w:w="4820" w:type="dxa"/>
            <w:shd w:val="clear" w:color="auto" w:fill="DDEEFF"/>
          </w:tcPr>
          <w:p w14:paraId="7B75CAC5" w14:textId="43467236" w:rsidR="00CF0267" w:rsidRDefault="00CF0267" w:rsidP="00CF0267">
            <w:pPr>
              <w:spacing w:after="120"/>
              <w:rPr>
                <w:sz w:val="22"/>
              </w:rPr>
            </w:pPr>
            <w:r w:rsidRPr="00CF0267">
              <w:rPr>
                <w:sz w:val="22"/>
              </w:rPr>
              <w:t xml:space="preserve">Appropriate </w:t>
            </w:r>
            <w:r>
              <w:rPr>
                <w:sz w:val="22"/>
              </w:rPr>
              <w:t xml:space="preserve">measures/indicators </w:t>
            </w:r>
            <w:r w:rsidRPr="00CF0267">
              <w:rPr>
                <w:sz w:val="22"/>
              </w:rPr>
              <w:t xml:space="preserve">should be selected </w:t>
            </w:r>
            <w:r>
              <w:rPr>
                <w:sz w:val="22"/>
              </w:rPr>
              <w:t xml:space="preserve">and new ones </w:t>
            </w:r>
            <w:r w:rsidRPr="00CF0267">
              <w:rPr>
                <w:sz w:val="22"/>
              </w:rPr>
              <w:t>developed</w:t>
            </w:r>
            <w:r>
              <w:rPr>
                <w:sz w:val="22"/>
              </w:rPr>
              <w:t xml:space="preserve"> where necessary, </w:t>
            </w:r>
            <w:r w:rsidRPr="00CF0267">
              <w:rPr>
                <w:sz w:val="22"/>
              </w:rPr>
              <w:t xml:space="preserve">including qualitative </w:t>
            </w:r>
            <w:r>
              <w:rPr>
                <w:sz w:val="22"/>
              </w:rPr>
              <w:t>evidence.</w:t>
            </w:r>
          </w:p>
        </w:tc>
        <w:tc>
          <w:tcPr>
            <w:tcW w:w="2551" w:type="dxa"/>
            <w:shd w:val="clear" w:color="auto" w:fill="DDEEFF"/>
          </w:tcPr>
          <w:p w14:paraId="70F0EFA2" w14:textId="1C0B8286" w:rsidR="00CF0267" w:rsidRPr="00BB2456" w:rsidRDefault="00625DF4" w:rsidP="00886AF4">
            <w:pPr>
              <w:rPr>
                <w:sz w:val="22"/>
              </w:rPr>
            </w:pPr>
            <w:r>
              <w:rPr>
                <w:sz w:val="22"/>
              </w:rPr>
              <w:t>OECD to analyse patient reported outcomes and patient experience measures (PROMs and PREMs)</w:t>
            </w:r>
          </w:p>
        </w:tc>
        <w:tc>
          <w:tcPr>
            <w:tcW w:w="1560" w:type="dxa"/>
            <w:shd w:val="clear" w:color="auto" w:fill="DDEEFF"/>
          </w:tcPr>
          <w:p w14:paraId="66262032" w14:textId="77777777" w:rsidR="00CF0267" w:rsidRDefault="00CF0267" w:rsidP="00886AF4">
            <w:pPr>
              <w:rPr>
                <w:sz w:val="22"/>
              </w:rPr>
            </w:pPr>
          </w:p>
        </w:tc>
      </w:tr>
      <w:tr w:rsidR="00CF0267" w:rsidRPr="00E54540" w14:paraId="127D8B9A" w14:textId="77777777" w:rsidTr="00625DF4">
        <w:tc>
          <w:tcPr>
            <w:tcW w:w="4820" w:type="dxa"/>
          </w:tcPr>
          <w:p w14:paraId="5DC42AB6" w14:textId="7E5D9581" w:rsidR="00CF0267" w:rsidRPr="00CF0267" w:rsidRDefault="00CF0267" w:rsidP="00CF0267">
            <w:pPr>
              <w:spacing w:after="120"/>
              <w:rPr>
                <w:sz w:val="22"/>
              </w:rPr>
            </w:pPr>
            <w:r>
              <w:rPr>
                <w:sz w:val="22"/>
              </w:rPr>
              <w:t>Healthcare organisations should put in place mechanisms to collect feedback from patients and families.</w:t>
            </w:r>
          </w:p>
        </w:tc>
        <w:tc>
          <w:tcPr>
            <w:tcW w:w="2551" w:type="dxa"/>
          </w:tcPr>
          <w:p w14:paraId="49A76314" w14:textId="77777777" w:rsidR="00CF0267" w:rsidRPr="00BB2456" w:rsidRDefault="00CF0267" w:rsidP="00886AF4">
            <w:pPr>
              <w:rPr>
                <w:sz w:val="22"/>
              </w:rPr>
            </w:pPr>
          </w:p>
        </w:tc>
        <w:tc>
          <w:tcPr>
            <w:tcW w:w="1560" w:type="dxa"/>
          </w:tcPr>
          <w:p w14:paraId="3590E3BD" w14:textId="77777777" w:rsidR="00CF0267" w:rsidRDefault="00CF0267" w:rsidP="00886AF4">
            <w:pPr>
              <w:rPr>
                <w:sz w:val="22"/>
              </w:rPr>
            </w:pPr>
          </w:p>
        </w:tc>
      </w:tr>
      <w:tr w:rsidR="00CF0267" w:rsidRPr="00E54540" w14:paraId="0B2AD148" w14:textId="77777777" w:rsidTr="00910E6C">
        <w:tc>
          <w:tcPr>
            <w:tcW w:w="4820" w:type="dxa"/>
            <w:shd w:val="clear" w:color="auto" w:fill="DDEEFF"/>
          </w:tcPr>
          <w:p w14:paraId="1C5883F3" w14:textId="76DCE93D" w:rsidR="00CF0267" w:rsidRDefault="00CF0267" w:rsidP="00625DF4">
            <w:pPr>
              <w:spacing w:after="120"/>
              <w:rPr>
                <w:sz w:val="22"/>
              </w:rPr>
            </w:pPr>
            <w:r>
              <w:rPr>
                <w:sz w:val="22"/>
              </w:rPr>
              <w:t xml:space="preserve">The EU should fund </w:t>
            </w:r>
            <w:r w:rsidRPr="00CF0267">
              <w:rPr>
                <w:sz w:val="22"/>
              </w:rPr>
              <w:t xml:space="preserve">research on innovative healthcare organisation and delivery models (e.g. integration of care, participatory medicine, patient involvement, </w:t>
            </w:r>
            <w:r>
              <w:rPr>
                <w:sz w:val="22"/>
              </w:rPr>
              <w:t xml:space="preserve">and </w:t>
            </w:r>
            <w:r w:rsidRPr="00CF0267">
              <w:rPr>
                <w:sz w:val="22"/>
              </w:rPr>
              <w:t>organisational culture change</w:t>
            </w:r>
            <w:r>
              <w:rPr>
                <w:sz w:val="22"/>
              </w:rPr>
              <w:t xml:space="preserve">). </w:t>
            </w:r>
          </w:p>
        </w:tc>
        <w:tc>
          <w:tcPr>
            <w:tcW w:w="2551" w:type="dxa"/>
            <w:shd w:val="clear" w:color="auto" w:fill="DDEEFF"/>
          </w:tcPr>
          <w:p w14:paraId="0ACAC6AA" w14:textId="13ECCC36" w:rsidR="00CF0267" w:rsidRPr="00BB2456" w:rsidRDefault="00625DF4" w:rsidP="00886AF4">
            <w:pPr>
              <w:rPr>
                <w:sz w:val="22"/>
              </w:rPr>
            </w:pPr>
            <w:r>
              <w:rPr>
                <w:sz w:val="22"/>
              </w:rPr>
              <w:t>Horizon 2020</w:t>
            </w:r>
          </w:p>
        </w:tc>
        <w:tc>
          <w:tcPr>
            <w:tcW w:w="1560" w:type="dxa"/>
            <w:shd w:val="clear" w:color="auto" w:fill="DDEEFF"/>
          </w:tcPr>
          <w:p w14:paraId="203422E1" w14:textId="77777777" w:rsidR="00CF0267" w:rsidRDefault="00CF0267" w:rsidP="00886AF4">
            <w:pPr>
              <w:rPr>
                <w:sz w:val="22"/>
              </w:rPr>
            </w:pPr>
          </w:p>
        </w:tc>
      </w:tr>
      <w:tr w:rsidR="00625DF4" w:rsidRPr="00E54540" w14:paraId="1DF5A433" w14:textId="77777777" w:rsidTr="00625DF4">
        <w:tc>
          <w:tcPr>
            <w:tcW w:w="4820" w:type="dxa"/>
          </w:tcPr>
          <w:p w14:paraId="3AF566D9" w14:textId="37BCECEE" w:rsidR="00625DF4" w:rsidRDefault="00625DF4" w:rsidP="00625DF4">
            <w:pPr>
              <w:rPr>
                <w:sz w:val="22"/>
              </w:rPr>
            </w:pPr>
            <w:r w:rsidRPr="00625DF4">
              <w:rPr>
                <w:sz w:val="22"/>
              </w:rPr>
              <w:lastRenderedPageBreak/>
              <w:t xml:space="preserve">EU guidelines </w:t>
            </w:r>
            <w:r>
              <w:rPr>
                <w:sz w:val="22"/>
              </w:rPr>
              <w:t xml:space="preserve">should be developed on how to </w:t>
            </w:r>
            <w:r w:rsidRPr="00625DF4">
              <w:rPr>
                <w:sz w:val="22"/>
              </w:rPr>
              <w:t>provid</w:t>
            </w:r>
            <w:r>
              <w:rPr>
                <w:sz w:val="22"/>
              </w:rPr>
              <w:t xml:space="preserve">e </w:t>
            </w:r>
            <w:r w:rsidRPr="00625DF4">
              <w:rPr>
                <w:sz w:val="22"/>
              </w:rPr>
              <w:t>transparent, comparable and understandable information on safety and quality of care to patients</w:t>
            </w:r>
            <w:r>
              <w:rPr>
                <w:sz w:val="22"/>
              </w:rPr>
              <w:t>.</w:t>
            </w:r>
            <w:r w:rsidRPr="00625DF4">
              <w:rPr>
                <w:sz w:val="22"/>
              </w:rPr>
              <w:t xml:space="preserve"> </w:t>
            </w:r>
          </w:p>
        </w:tc>
        <w:tc>
          <w:tcPr>
            <w:tcW w:w="2551" w:type="dxa"/>
          </w:tcPr>
          <w:p w14:paraId="73777210" w14:textId="7C73CC66" w:rsidR="00625DF4" w:rsidRDefault="005B04BF" w:rsidP="005B04BF">
            <w:pPr>
              <w:spacing w:after="120"/>
              <w:rPr>
                <w:sz w:val="22"/>
              </w:rPr>
            </w:pPr>
            <w:r>
              <w:rPr>
                <w:sz w:val="22"/>
              </w:rPr>
              <w:t xml:space="preserve">The </w:t>
            </w:r>
            <w:r w:rsidR="00625DF4">
              <w:rPr>
                <w:sz w:val="22"/>
              </w:rPr>
              <w:t>guideline can support implementation of the cross-border healthcare directive (National Contact Points).</w:t>
            </w:r>
          </w:p>
        </w:tc>
        <w:tc>
          <w:tcPr>
            <w:tcW w:w="1560" w:type="dxa"/>
          </w:tcPr>
          <w:p w14:paraId="485FCAD8" w14:textId="77777777" w:rsidR="00625DF4" w:rsidRDefault="00625DF4" w:rsidP="00886AF4">
            <w:pPr>
              <w:rPr>
                <w:sz w:val="22"/>
              </w:rPr>
            </w:pPr>
          </w:p>
        </w:tc>
      </w:tr>
      <w:tr w:rsidR="00625DF4" w:rsidRPr="00625DF4" w14:paraId="1F251C6A" w14:textId="77777777" w:rsidTr="00910E6C">
        <w:tc>
          <w:tcPr>
            <w:tcW w:w="4820" w:type="dxa"/>
            <w:shd w:val="clear" w:color="auto" w:fill="DDEEFF"/>
          </w:tcPr>
          <w:p w14:paraId="4F680035" w14:textId="149E41E8" w:rsidR="00625DF4" w:rsidRPr="00625DF4" w:rsidRDefault="00625DF4" w:rsidP="00625DF4">
            <w:pPr>
              <w:rPr>
                <w:sz w:val="22"/>
              </w:rPr>
            </w:pPr>
            <w:r w:rsidRPr="00625DF4">
              <w:rPr>
                <w:sz w:val="22"/>
              </w:rPr>
              <w:t>Educational resources should be developed for patients on how to interpret quality and safety data.</w:t>
            </w:r>
          </w:p>
        </w:tc>
        <w:tc>
          <w:tcPr>
            <w:tcW w:w="2551" w:type="dxa"/>
            <w:shd w:val="clear" w:color="auto" w:fill="DDEEFF"/>
          </w:tcPr>
          <w:p w14:paraId="63DCDA60" w14:textId="09599D97" w:rsidR="00625DF4" w:rsidRPr="00625DF4" w:rsidRDefault="00625DF4" w:rsidP="00625DF4">
            <w:pPr>
              <w:spacing w:after="120"/>
              <w:rPr>
                <w:sz w:val="22"/>
              </w:rPr>
            </w:pPr>
            <w:r w:rsidRPr="00625DF4">
              <w:rPr>
                <w:sz w:val="22"/>
              </w:rPr>
              <w:t>Possible opportunity for partnering between patient organisations and quality experts</w:t>
            </w:r>
          </w:p>
        </w:tc>
        <w:tc>
          <w:tcPr>
            <w:tcW w:w="1560" w:type="dxa"/>
            <w:shd w:val="clear" w:color="auto" w:fill="DDEEFF"/>
          </w:tcPr>
          <w:p w14:paraId="2AB28F02" w14:textId="77777777" w:rsidR="00625DF4" w:rsidRPr="00625DF4" w:rsidRDefault="00625DF4" w:rsidP="00886AF4">
            <w:pPr>
              <w:rPr>
                <w:sz w:val="22"/>
              </w:rPr>
            </w:pPr>
          </w:p>
        </w:tc>
      </w:tr>
    </w:tbl>
    <w:p w14:paraId="23EDE18C" w14:textId="77777777" w:rsidR="00625DF4" w:rsidRDefault="00625DF4" w:rsidP="00C62C83">
      <w:pPr>
        <w:pStyle w:val="Heading2"/>
        <w:spacing w:before="0" w:after="120" w:line="240" w:lineRule="auto"/>
        <w:ind w:left="142"/>
        <w:rPr>
          <w:color w:val="1F3864" w:themeColor="accent5" w:themeShade="80"/>
          <w:sz w:val="28"/>
        </w:rPr>
      </w:pPr>
    </w:p>
    <w:p w14:paraId="6E226EA6" w14:textId="77777777" w:rsidR="00C62C83" w:rsidRDefault="00C62C83" w:rsidP="00C62C83">
      <w:pPr>
        <w:pStyle w:val="Heading2"/>
        <w:spacing w:before="0" w:after="120" w:line="240" w:lineRule="auto"/>
        <w:ind w:left="142"/>
        <w:rPr>
          <w:color w:val="1F3864" w:themeColor="accent5" w:themeShade="80"/>
          <w:sz w:val="28"/>
        </w:rPr>
      </w:pPr>
      <w:r>
        <w:rPr>
          <w:color w:val="1F3864" w:themeColor="accent5" w:themeShade="80"/>
          <w:sz w:val="28"/>
        </w:rPr>
        <w:br w:type="page"/>
      </w:r>
    </w:p>
    <w:p w14:paraId="39FBC280" w14:textId="350C35D4" w:rsidR="00BA0106" w:rsidRPr="00C62C83" w:rsidRDefault="007B1F19" w:rsidP="00D35C3C">
      <w:pPr>
        <w:pStyle w:val="Heading2"/>
        <w:spacing w:before="0" w:after="240" w:line="240" w:lineRule="auto"/>
        <w:rPr>
          <w:color w:val="1F3864" w:themeColor="accent5" w:themeShade="80"/>
          <w:sz w:val="28"/>
        </w:rPr>
      </w:pPr>
      <w:bookmarkStart w:id="10" w:name="_Toc447113223"/>
      <w:r>
        <w:rPr>
          <w:color w:val="1F3864" w:themeColor="accent5" w:themeShade="80"/>
          <w:sz w:val="28"/>
        </w:rPr>
        <w:lastRenderedPageBreak/>
        <w:t xml:space="preserve">Priority area 8: </w:t>
      </w:r>
      <w:r w:rsidR="007B5BD0">
        <w:rPr>
          <w:color w:val="1F3864" w:themeColor="accent5" w:themeShade="80"/>
          <w:sz w:val="28"/>
        </w:rPr>
        <w:t>P</w:t>
      </w:r>
      <w:r>
        <w:rPr>
          <w:color w:val="1F3864" w:themeColor="accent5" w:themeShade="80"/>
          <w:sz w:val="28"/>
        </w:rPr>
        <w:t>atient-centred</w:t>
      </w:r>
      <w:r w:rsidR="007849E4">
        <w:rPr>
          <w:color w:val="1F3864" w:themeColor="accent5" w:themeShade="80"/>
          <w:sz w:val="28"/>
        </w:rPr>
        <w:t xml:space="preserve"> </w:t>
      </w:r>
      <w:r w:rsidR="00DC5AF6">
        <w:rPr>
          <w:color w:val="1F3864" w:themeColor="accent5" w:themeShade="80"/>
          <w:sz w:val="28"/>
        </w:rPr>
        <w:t>innovation/ therapeutic R&amp;D and regulation</w:t>
      </w:r>
      <w:bookmarkEnd w:id="10"/>
      <w:r w:rsidR="00DC5AF6">
        <w:rPr>
          <w:color w:val="1F3864" w:themeColor="accent5" w:themeShade="80"/>
          <w:sz w:val="28"/>
        </w:rPr>
        <w:t xml:space="preserve"> </w:t>
      </w:r>
      <w:r w:rsidR="00D35C3C">
        <w:rPr>
          <w:color w:val="1F3864" w:themeColor="accent5" w:themeShade="80"/>
          <w:sz w:val="28"/>
        </w:rPr>
        <w:t xml:space="preserve"> </w:t>
      </w:r>
      <w:r w:rsidR="00C62C83">
        <w:rPr>
          <w:color w:val="1F3864" w:themeColor="accent5" w:themeShade="80"/>
          <w:sz w:val="28"/>
        </w:rPr>
        <w:t xml:space="preserve"> </w:t>
      </w:r>
    </w:p>
    <w:p w14:paraId="0A618D6F" w14:textId="77777777" w:rsidR="00022F0E" w:rsidRPr="00774C39" w:rsidRDefault="00BA0106" w:rsidP="007B1F19">
      <w:pPr>
        <w:pStyle w:val="ListParagraph"/>
        <w:ind w:left="0"/>
        <w:contextualSpacing w:val="0"/>
        <w:jc w:val="both"/>
      </w:pPr>
      <w:r w:rsidRPr="00774C39">
        <w:t xml:space="preserve">Advances in medicine only possible with the voluntary participation of patients. Patients therefore have a moral right to be involved in how research is developed, managed and evaluated. Involvement also leads to better quality research results: patients’ experiential knowledge is an important complement to researchers’ scientific knowledge. </w:t>
      </w:r>
    </w:p>
    <w:p w14:paraId="643EF352" w14:textId="288CF171" w:rsidR="00632280" w:rsidRDefault="00BA0106" w:rsidP="007B1F19">
      <w:pPr>
        <w:pStyle w:val="ListParagraph"/>
        <w:ind w:left="0"/>
        <w:contextualSpacing w:val="0"/>
        <w:jc w:val="both"/>
      </w:pPr>
      <w:r w:rsidRPr="00774C39">
        <w:t xml:space="preserve">Patients’ priorities are often different from those of researchers, medical professionals or industry. </w:t>
      </w:r>
      <w:r w:rsidR="006462E2" w:rsidRPr="00774C39">
        <w:t>Not everything that is new can be considered innovative or novel. In EPF’s view “innovation” implies new products that bring</w:t>
      </w:r>
      <w:r w:rsidR="00A34F80">
        <w:t xml:space="preserve"> added value for </w:t>
      </w:r>
      <w:r w:rsidR="006462E2" w:rsidRPr="00774C39">
        <w:t xml:space="preserve">patients’ </w:t>
      </w:r>
      <w:r w:rsidR="00A34F80">
        <w:t xml:space="preserve">health or </w:t>
      </w:r>
      <w:r w:rsidR="006462E2" w:rsidRPr="00774C39">
        <w:t xml:space="preserve">quality of life. </w:t>
      </w:r>
      <w:r w:rsidR="003B02DE" w:rsidRPr="00774C39">
        <w:t xml:space="preserve">It is important to define </w:t>
      </w:r>
      <w:r w:rsidR="00632280">
        <w:t xml:space="preserve">a clear policy </w:t>
      </w:r>
      <w:r w:rsidR="003B02DE" w:rsidRPr="00774C39">
        <w:t>at European level towards fostering and rewarding innovation</w:t>
      </w:r>
      <w:r w:rsidR="00632280">
        <w:t xml:space="preserve"> in this positive sense</w:t>
      </w:r>
      <w:r w:rsidR="003B02DE" w:rsidRPr="00774C39">
        <w:t xml:space="preserve">. </w:t>
      </w:r>
      <w:r w:rsidR="00632280" w:rsidRPr="00774C39">
        <w:t>This conversation should take place with the involvement of all relevant stakeholders</w:t>
      </w:r>
      <w:r w:rsidR="00632280">
        <w:t>, including patients and payers</w:t>
      </w:r>
      <w:r w:rsidR="00632280" w:rsidRPr="00774C39">
        <w:t>.</w:t>
      </w:r>
    </w:p>
    <w:p w14:paraId="2093C397" w14:textId="77777777" w:rsidR="00632280" w:rsidRDefault="003B02DE" w:rsidP="007B1F19">
      <w:pPr>
        <w:pStyle w:val="ListParagraph"/>
        <w:ind w:left="0"/>
        <w:contextualSpacing w:val="0"/>
        <w:jc w:val="both"/>
      </w:pPr>
      <w:r w:rsidRPr="00774C39">
        <w:t>To ensure that innovation brings real value to patients, patient involvement needs to be</w:t>
      </w:r>
      <w:r w:rsidR="00632280">
        <w:t xml:space="preserve"> adopted </w:t>
      </w:r>
      <w:r w:rsidRPr="00774C39">
        <w:t>as a strategic approach and integrated across the entire innovation chain at EU and national level</w:t>
      </w:r>
      <w:r w:rsidR="00632280">
        <w:t>s</w:t>
      </w:r>
      <w:r w:rsidRPr="00774C39">
        <w:t xml:space="preserve">. </w:t>
      </w:r>
      <w:r w:rsidR="00632280">
        <w:t>T</w:t>
      </w:r>
      <w:r w:rsidRPr="00774C39">
        <w:t>he WHO Priority Medicines report</w:t>
      </w:r>
      <w:r w:rsidR="00632280">
        <w:t xml:space="preserve"> update (2014) recognised that there was a need to develop frameworks for ensuring patient priorities guide R&amp;D</w:t>
      </w:r>
      <w:r w:rsidRPr="00774C39">
        <w:t xml:space="preserve">. </w:t>
      </w:r>
    </w:p>
    <w:p w14:paraId="21BC1D50" w14:textId="546A5255" w:rsidR="003B02DE" w:rsidRPr="00774C39" w:rsidRDefault="003B02DE" w:rsidP="00632280">
      <w:pPr>
        <w:pStyle w:val="ListParagraph"/>
        <w:spacing w:after="240"/>
        <w:ind w:left="0"/>
        <w:contextualSpacing w:val="0"/>
        <w:jc w:val="both"/>
      </w:pPr>
      <w:r w:rsidRPr="00774C39">
        <w:t xml:space="preserve">Patient involvement in the regulatory process is indispensable, particularly with the emergence of novel, more flexible approaches to </w:t>
      </w:r>
      <w:r w:rsidR="00632280">
        <w:t>authorisation of new products</w:t>
      </w:r>
      <w:r w:rsidRPr="00774C39">
        <w:t>, such as conditional marketing authorisation</w:t>
      </w:r>
      <w:r w:rsidR="00632280">
        <w:t xml:space="preserve"> and adaptive pathways</w:t>
      </w:r>
      <w:r w:rsidRPr="00774C39">
        <w:t>, which promise faster patient access but</w:t>
      </w:r>
      <w:r w:rsidR="00632280">
        <w:t xml:space="preserve"> need careful balancing of the related uncertainties, benefits and risks</w:t>
      </w:r>
      <w:r w:rsidRPr="00774C39">
        <w:t xml:space="preserve">. </w:t>
      </w:r>
      <w:r w:rsidR="000F6C2C" w:rsidRPr="000F6C2C">
        <w:t xml:space="preserve">The EMA model for involving patients and consumers is widely seen as an example of good practice with potential for replication, but could be </w:t>
      </w:r>
      <w:r w:rsidR="000F6C2C">
        <w:t>taken up more</w:t>
      </w:r>
      <w:r w:rsidR="000F6C2C" w:rsidRPr="000F6C2C">
        <w:t xml:space="preserve"> proactively</w:t>
      </w:r>
      <w:r w:rsidR="000F6C2C">
        <w:t xml:space="preserve"> by </w:t>
      </w:r>
      <w:r w:rsidR="000F6C2C" w:rsidRPr="000F6C2C">
        <w:t>national authorities.</w:t>
      </w:r>
    </w:p>
    <w:tbl>
      <w:tblPr>
        <w:tblStyle w:val="TableGrid"/>
        <w:tblW w:w="8931" w:type="dxa"/>
        <w:tblInd w:w="-5" w:type="dxa"/>
        <w:tblLook w:val="04A0" w:firstRow="1" w:lastRow="0" w:firstColumn="1" w:lastColumn="0" w:noHBand="0" w:noVBand="1"/>
      </w:tblPr>
      <w:tblGrid>
        <w:gridCol w:w="4820"/>
        <w:gridCol w:w="2551"/>
        <w:gridCol w:w="1560"/>
      </w:tblGrid>
      <w:tr w:rsidR="00910E6C" w:rsidRPr="00544F53" w14:paraId="6E079E83" w14:textId="77777777" w:rsidTr="00910E6C">
        <w:trPr>
          <w:trHeight w:val="536"/>
        </w:trPr>
        <w:tc>
          <w:tcPr>
            <w:tcW w:w="4820" w:type="dxa"/>
            <w:shd w:val="clear" w:color="auto" w:fill="AFD7FF"/>
          </w:tcPr>
          <w:p w14:paraId="12ED43F9" w14:textId="77777777" w:rsidR="00910E6C" w:rsidRPr="00544F53" w:rsidRDefault="00910E6C" w:rsidP="00886AF4">
            <w:pPr>
              <w:spacing w:after="40"/>
              <w:rPr>
                <w:b/>
                <w:sz w:val="22"/>
              </w:rPr>
            </w:pPr>
            <w:r w:rsidRPr="00544F53">
              <w:rPr>
                <w:b/>
                <w:sz w:val="22"/>
              </w:rPr>
              <w:t xml:space="preserve">Action </w:t>
            </w:r>
          </w:p>
        </w:tc>
        <w:tc>
          <w:tcPr>
            <w:tcW w:w="2551" w:type="dxa"/>
            <w:shd w:val="clear" w:color="auto" w:fill="AFD7FF"/>
          </w:tcPr>
          <w:p w14:paraId="335563DA" w14:textId="77777777" w:rsidR="00910E6C" w:rsidRPr="00544F53" w:rsidRDefault="00910E6C" w:rsidP="00886AF4">
            <w:pPr>
              <w:spacing w:after="40"/>
              <w:rPr>
                <w:b/>
                <w:sz w:val="22"/>
              </w:rPr>
            </w:pPr>
            <w:r w:rsidRPr="00544F53">
              <w:rPr>
                <w:b/>
                <w:sz w:val="22"/>
              </w:rPr>
              <w:t>Objective/example of achievement</w:t>
            </w:r>
          </w:p>
        </w:tc>
        <w:tc>
          <w:tcPr>
            <w:tcW w:w="1560" w:type="dxa"/>
            <w:shd w:val="clear" w:color="auto" w:fill="AFD7FF"/>
          </w:tcPr>
          <w:p w14:paraId="6DE4651B" w14:textId="77777777" w:rsidR="00910E6C" w:rsidRPr="00544F53" w:rsidRDefault="00910E6C" w:rsidP="00886AF4">
            <w:pPr>
              <w:spacing w:after="40"/>
              <w:rPr>
                <w:b/>
                <w:sz w:val="22"/>
              </w:rPr>
            </w:pPr>
            <w:r w:rsidRPr="00544F53">
              <w:rPr>
                <w:b/>
                <w:sz w:val="22"/>
              </w:rPr>
              <w:t xml:space="preserve">Time frame </w:t>
            </w:r>
          </w:p>
        </w:tc>
      </w:tr>
      <w:tr w:rsidR="00910E6C" w:rsidRPr="00E54540" w14:paraId="6021D5DB" w14:textId="77777777" w:rsidTr="00910E6C">
        <w:tc>
          <w:tcPr>
            <w:tcW w:w="4820" w:type="dxa"/>
          </w:tcPr>
          <w:p w14:paraId="35590266" w14:textId="570EEAAF" w:rsidR="00910E6C" w:rsidRDefault="00910E6C" w:rsidP="00910E6C">
            <w:pPr>
              <w:spacing w:after="120"/>
              <w:rPr>
                <w:sz w:val="22"/>
              </w:rPr>
            </w:pPr>
            <w:r w:rsidRPr="00910E6C">
              <w:rPr>
                <w:sz w:val="22"/>
              </w:rPr>
              <w:t>Develop frameworks for meaningful patient involvement across the innovation chain, in collaboration with relevant parts of the EU commission and stakeholders – from priority setting in research designed to the regulatory processes, cost benefit assessments, pricing and reimbursement, and the use and reuse/collection of patient data in an ethical way</w:t>
            </w:r>
            <w:r>
              <w:rPr>
                <w:sz w:val="22"/>
              </w:rPr>
              <w:t>.</w:t>
            </w:r>
          </w:p>
        </w:tc>
        <w:tc>
          <w:tcPr>
            <w:tcW w:w="2551" w:type="dxa"/>
          </w:tcPr>
          <w:p w14:paraId="32BDD1CE" w14:textId="77777777" w:rsidR="00910E6C" w:rsidRPr="00BB2456" w:rsidRDefault="00910E6C" w:rsidP="00886AF4">
            <w:pPr>
              <w:spacing w:after="120"/>
              <w:rPr>
                <w:sz w:val="22"/>
              </w:rPr>
            </w:pPr>
          </w:p>
        </w:tc>
        <w:tc>
          <w:tcPr>
            <w:tcW w:w="1560" w:type="dxa"/>
          </w:tcPr>
          <w:p w14:paraId="3726A201" w14:textId="77777777" w:rsidR="00910E6C" w:rsidRDefault="00910E6C" w:rsidP="00886AF4">
            <w:pPr>
              <w:spacing w:after="120"/>
              <w:rPr>
                <w:sz w:val="22"/>
              </w:rPr>
            </w:pPr>
          </w:p>
        </w:tc>
      </w:tr>
      <w:tr w:rsidR="00910E6C" w:rsidRPr="00E54540" w14:paraId="03DAD1FA" w14:textId="77777777" w:rsidTr="00910E6C">
        <w:tc>
          <w:tcPr>
            <w:tcW w:w="4820" w:type="dxa"/>
          </w:tcPr>
          <w:p w14:paraId="6E7EA00F" w14:textId="14820968" w:rsidR="00910E6C" w:rsidRDefault="000F6C2C" w:rsidP="000F6C2C">
            <w:pPr>
              <w:spacing w:after="120"/>
              <w:rPr>
                <w:sz w:val="22"/>
              </w:rPr>
            </w:pPr>
            <w:r>
              <w:rPr>
                <w:sz w:val="22"/>
              </w:rPr>
              <w:t>Develop a coherent patient engagement strategy within the innovative medicines initiative (IMI).</w:t>
            </w:r>
          </w:p>
        </w:tc>
        <w:tc>
          <w:tcPr>
            <w:tcW w:w="2551" w:type="dxa"/>
          </w:tcPr>
          <w:p w14:paraId="0ACF3EB0" w14:textId="77777777" w:rsidR="00910E6C" w:rsidRPr="00BB2456" w:rsidRDefault="00910E6C" w:rsidP="00886AF4">
            <w:pPr>
              <w:rPr>
                <w:sz w:val="22"/>
              </w:rPr>
            </w:pPr>
          </w:p>
        </w:tc>
        <w:tc>
          <w:tcPr>
            <w:tcW w:w="1560" w:type="dxa"/>
          </w:tcPr>
          <w:p w14:paraId="4BA49451" w14:textId="77777777" w:rsidR="00910E6C" w:rsidRDefault="00910E6C" w:rsidP="00886AF4">
            <w:pPr>
              <w:rPr>
                <w:sz w:val="22"/>
              </w:rPr>
            </w:pPr>
          </w:p>
        </w:tc>
      </w:tr>
      <w:tr w:rsidR="00910E6C" w:rsidRPr="00E54540" w14:paraId="1879F60B" w14:textId="77777777" w:rsidTr="00910E6C">
        <w:tc>
          <w:tcPr>
            <w:tcW w:w="4820" w:type="dxa"/>
          </w:tcPr>
          <w:p w14:paraId="3A4A0E93" w14:textId="2FB74DF4" w:rsidR="00910E6C" w:rsidRDefault="000F6C2C" w:rsidP="000F6C2C">
            <w:pPr>
              <w:spacing w:after="120"/>
              <w:rPr>
                <w:sz w:val="22"/>
              </w:rPr>
            </w:pPr>
            <w:r w:rsidRPr="000F6C2C">
              <w:rPr>
                <w:sz w:val="22"/>
              </w:rPr>
              <w:t>Continued emphasis on patient education and continued patient education akin to CPD on therapeutic innovation building on EUPATI</w:t>
            </w:r>
          </w:p>
        </w:tc>
        <w:tc>
          <w:tcPr>
            <w:tcW w:w="2551" w:type="dxa"/>
          </w:tcPr>
          <w:p w14:paraId="461DF8F7" w14:textId="1D92DAF8" w:rsidR="00910E6C" w:rsidRPr="00BB2456" w:rsidRDefault="000F6C2C" w:rsidP="00886AF4">
            <w:pPr>
              <w:rPr>
                <w:sz w:val="22"/>
              </w:rPr>
            </w:pPr>
            <w:r>
              <w:rPr>
                <w:sz w:val="22"/>
              </w:rPr>
              <w:t>(More concrete) through setting up national eupati platforms?</w:t>
            </w:r>
          </w:p>
        </w:tc>
        <w:tc>
          <w:tcPr>
            <w:tcW w:w="1560" w:type="dxa"/>
          </w:tcPr>
          <w:p w14:paraId="06E4F439" w14:textId="77777777" w:rsidR="00910E6C" w:rsidRDefault="00910E6C" w:rsidP="00886AF4">
            <w:pPr>
              <w:rPr>
                <w:sz w:val="22"/>
              </w:rPr>
            </w:pPr>
          </w:p>
        </w:tc>
      </w:tr>
      <w:tr w:rsidR="000F6C2C" w:rsidRPr="00E54540" w14:paraId="2C211558" w14:textId="77777777" w:rsidTr="00910E6C">
        <w:tc>
          <w:tcPr>
            <w:tcW w:w="4820" w:type="dxa"/>
          </w:tcPr>
          <w:p w14:paraId="4A8DD242" w14:textId="67B4FC46" w:rsidR="000F6C2C" w:rsidRPr="000F6C2C" w:rsidRDefault="000F6C2C" w:rsidP="000F6C2C">
            <w:pPr>
              <w:spacing w:after="120"/>
              <w:rPr>
                <w:sz w:val="22"/>
              </w:rPr>
            </w:pPr>
            <w:r w:rsidRPr="000F6C2C">
              <w:rPr>
                <w:color w:val="FF0000"/>
                <w:sz w:val="22"/>
              </w:rPr>
              <w:t xml:space="preserve">A dedicated reference to patient involvement in HTA and specific aspirations for JA 3 </w:t>
            </w:r>
          </w:p>
        </w:tc>
        <w:tc>
          <w:tcPr>
            <w:tcW w:w="2551" w:type="dxa"/>
          </w:tcPr>
          <w:p w14:paraId="3DC81C1F" w14:textId="11AA39F1" w:rsidR="000F6C2C" w:rsidRDefault="000F6C2C" w:rsidP="00886AF4">
            <w:pPr>
              <w:rPr>
                <w:sz w:val="22"/>
              </w:rPr>
            </w:pPr>
            <w:r>
              <w:rPr>
                <w:sz w:val="22"/>
              </w:rPr>
              <w:t>Vale</w:t>
            </w:r>
          </w:p>
        </w:tc>
        <w:tc>
          <w:tcPr>
            <w:tcW w:w="1560" w:type="dxa"/>
          </w:tcPr>
          <w:p w14:paraId="40EBAB8D" w14:textId="77777777" w:rsidR="000F6C2C" w:rsidRDefault="000F6C2C" w:rsidP="00886AF4">
            <w:pPr>
              <w:rPr>
                <w:sz w:val="22"/>
              </w:rPr>
            </w:pPr>
          </w:p>
        </w:tc>
      </w:tr>
      <w:tr w:rsidR="000F6C2C" w:rsidRPr="00E54540" w14:paraId="4ED6B2B6" w14:textId="77777777" w:rsidTr="00910E6C">
        <w:tc>
          <w:tcPr>
            <w:tcW w:w="4820" w:type="dxa"/>
          </w:tcPr>
          <w:p w14:paraId="21420584" w14:textId="2616EA54" w:rsidR="000F6C2C" w:rsidRPr="000F6C2C" w:rsidRDefault="000F6C2C" w:rsidP="000F6C2C">
            <w:pPr>
              <w:rPr>
                <w:sz w:val="22"/>
              </w:rPr>
            </w:pPr>
            <w:r>
              <w:rPr>
                <w:sz w:val="22"/>
              </w:rPr>
              <w:t>Closer links between initiatives in the pharmaceutical /</w:t>
            </w:r>
            <w:r w:rsidRPr="000F6C2C">
              <w:rPr>
                <w:sz w:val="22"/>
              </w:rPr>
              <w:t xml:space="preserve"> med</w:t>
            </w:r>
            <w:r>
              <w:rPr>
                <w:sz w:val="22"/>
              </w:rPr>
              <w:t>-</w:t>
            </w:r>
            <w:r w:rsidRPr="000F6C2C">
              <w:rPr>
                <w:sz w:val="22"/>
              </w:rPr>
              <w:t xml:space="preserve">tech </w:t>
            </w:r>
            <w:r>
              <w:rPr>
                <w:sz w:val="22"/>
              </w:rPr>
              <w:t>and</w:t>
            </w:r>
            <w:r w:rsidRPr="000F6C2C">
              <w:rPr>
                <w:sz w:val="22"/>
              </w:rPr>
              <w:t xml:space="preserve"> IT industry, which are often disparate , under a </w:t>
            </w:r>
            <w:r>
              <w:rPr>
                <w:sz w:val="22"/>
              </w:rPr>
              <w:t xml:space="preserve">common </w:t>
            </w:r>
            <w:r w:rsidRPr="000F6C2C">
              <w:rPr>
                <w:sz w:val="22"/>
              </w:rPr>
              <w:t>patient empowerment umbrella.</w:t>
            </w:r>
          </w:p>
        </w:tc>
        <w:tc>
          <w:tcPr>
            <w:tcW w:w="2551" w:type="dxa"/>
          </w:tcPr>
          <w:p w14:paraId="7CDA5EB5" w14:textId="3BF8B034" w:rsidR="000F6C2C" w:rsidRDefault="000F6C2C" w:rsidP="00886AF4">
            <w:pPr>
              <w:rPr>
                <w:sz w:val="22"/>
              </w:rPr>
            </w:pPr>
            <w:r>
              <w:rPr>
                <w:sz w:val="22"/>
              </w:rPr>
              <w:t>Walter/Jan</w:t>
            </w:r>
          </w:p>
        </w:tc>
        <w:tc>
          <w:tcPr>
            <w:tcW w:w="1560" w:type="dxa"/>
          </w:tcPr>
          <w:p w14:paraId="60704A13" w14:textId="77777777" w:rsidR="000F6C2C" w:rsidRDefault="000F6C2C" w:rsidP="00886AF4">
            <w:pPr>
              <w:rPr>
                <w:sz w:val="22"/>
              </w:rPr>
            </w:pPr>
          </w:p>
        </w:tc>
      </w:tr>
      <w:tr w:rsidR="000F6C2C" w:rsidRPr="00E54540" w14:paraId="7D43D029" w14:textId="77777777" w:rsidTr="00910E6C">
        <w:tc>
          <w:tcPr>
            <w:tcW w:w="4820" w:type="dxa"/>
          </w:tcPr>
          <w:p w14:paraId="417DD35C" w14:textId="47BD4649" w:rsidR="000F6C2C" w:rsidRDefault="000F6C2C" w:rsidP="000F6C2C">
            <w:pPr>
              <w:rPr>
                <w:sz w:val="22"/>
              </w:rPr>
            </w:pPr>
            <w:r w:rsidRPr="000F6C2C">
              <w:rPr>
                <w:sz w:val="22"/>
              </w:rPr>
              <w:lastRenderedPageBreak/>
              <w:t>Academic and industry-led research should prioritise issues that patients consider most important</w:t>
            </w:r>
            <w:r>
              <w:rPr>
                <w:sz w:val="22"/>
              </w:rPr>
              <w:t>.</w:t>
            </w:r>
          </w:p>
        </w:tc>
        <w:tc>
          <w:tcPr>
            <w:tcW w:w="2551" w:type="dxa"/>
          </w:tcPr>
          <w:p w14:paraId="1322465E" w14:textId="2011036E" w:rsidR="000F6C2C" w:rsidRDefault="000F6C2C" w:rsidP="000F6C2C">
            <w:pPr>
              <w:rPr>
                <w:sz w:val="22"/>
              </w:rPr>
            </w:pPr>
            <w:r w:rsidRPr="000F6C2C">
              <w:rPr>
                <w:sz w:val="22"/>
              </w:rPr>
              <w:t>Research</w:t>
            </w:r>
            <w:r>
              <w:rPr>
                <w:sz w:val="22"/>
              </w:rPr>
              <w:t xml:space="preserve"> </w:t>
            </w:r>
            <w:r w:rsidRPr="000F6C2C">
              <w:rPr>
                <w:sz w:val="22"/>
              </w:rPr>
              <w:t>applications with meaningful patient involvement in defining the research questions and protocols, should be prioritised for funding</w:t>
            </w:r>
            <w:r>
              <w:rPr>
                <w:sz w:val="22"/>
              </w:rPr>
              <w:t>.</w:t>
            </w:r>
          </w:p>
        </w:tc>
        <w:tc>
          <w:tcPr>
            <w:tcW w:w="1560" w:type="dxa"/>
          </w:tcPr>
          <w:p w14:paraId="24F244BD" w14:textId="77777777" w:rsidR="000F6C2C" w:rsidRDefault="000F6C2C" w:rsidP="00886AF4">
            <w:pPr>
              <w:rPr>
                <w:sz w:val="22"/>
              </w:rPr>
            </w:pPr>
          </w:p>
        </w:tc>
      </w:tr>
      <w:tr w:rsidR="000F6C2C" w:rsidRPr="000F6C2C" w14:paraId="37142ABF" w14:textId="77777777" w:rsidTr="00910E6C">
        <w:tc>
          <w:tcPr>
            <w:tcW w:w="4820" w:type="dxa"/>
          </w:tcPr>
          <w:p w14:paraId="1563B79A" w14:textId="436AAC0C" w:rsidR="000F6C2C" w:rsidRDefault="000F6C2C" w:rsidP="000F6C2C">
            <w:pPr>
              <w:spacing w:after="120"/>
              <w:rPr>
                <w:sz w:val="22"/>
              </w:rPr>
            </w:pPr>
            <w:r>
              <w:rPr>
                <w:sz w:val="22"/>
              </w:rPr>
              <w:t xml:space="preserve">The European Medicines Agency’s principles of patient involvement should be adopted by national </w:t>
            </w:r>
            <w:r w:rsidRPr="000F6C2C">
              <w:rPr>
                <w:sz w:val="22"/>
              </w:rPr>
              <w:t>Medicines Agencies</w:t>
            </w:r>
            <w:r>
              <w:rPr>
                <w:sz w:val="22"/>
              </w:rPr>
              <w:t>, particularly in member states were there is currently little patient involvement.</w:t>
            </w:r>
          </w:p>
          <w:p w14:paraId="51F03166" w14:textId="55874203" w:rsidR="000F6C2C" w:rsidRPr="000F6C2C" w:rsidRDefault="000F6C2C" w:rsidP="000F6C2C">
            <w:pPr>
              <w:spacing w:after="120"/>
              <w:rPr>
                <w:sz w:val="22"/>
              </w:rPr>
            </w:pPr>
          </w:p>
        </w:tc>
        <w:tc>
          <w:tcPr>
            <w:tcW w:w="2551" w:type="dxa"/>
          </w:tcPr>
          <w:p w14:paraId="06A3E4E2" w14:textId="382CB45A" w:rsidR="000F6C2C" w:rsidRPr="000F6C2C" w:rsidRDefault="00D21A60" w:rsidP="00D21A60">
            <w:pPr>
              <w:rPr>
                <w:sz w:val="22"/>
              </w:rPr>
            </w:pPr>
            <w:r w:rsidRPr="000F6C2C">
              <w:rPr>
                <w:sz w:val="22"/>
              </w:rPr>
              <w:t xml:space="preserve">The network </w:t>
            </w:r>
            <w:r>
              <w:rPr>
                <w:sz w:val="22"/>
              </w:rPr>
              <w:t xml:space="preserve">of medicines agencies can </w:t>
            </w:r>
            <w:r w:rsidRPr="000F6C2C">
              <w:rPr>
                <w:sz w:val="22"/>
              </w:rPr>
              <w:t xml:space="preserve">play a valuable role in sharing and mutual learning, </w:t>
            </w:r>
            <w:r w:rsidRPr="00D21A60">
              <w:rPr>
                <w:i/>
                <w:sz w:val="22"/>
              </w:rPr>
              <w:t>inter-alia</w:t>
            </w:r>
            <w:r w:rsidRPr="000F6C2C">
              <w:rPr>
                <w:sz w:val="22"/>
              </w:rPr>
              <w:t xml:space="preserve"> through closer links with the Patient and Consumer Working Party</w:t>
            </w:r>
            <w:r>
              <w:rPr>
                <w:sz w:val="22"/>
              </w:rPr>
              <w:t xml:space="preserve"> (PCWP).  </w:t>
            </w:r>
          </w:p>
        </w:tc>
        <w:tc>
          <w:tcPr>
            <w:tcW w:w="1560" w:type="dxa"/>
          </w:tcPr>
          <w:p w14:paraId="589068DF" w14:textId="77777777" w:rsidR="000F6C2C" w:rsidRPr="000F6C2C" w:rsidRDefault="000F6C2C" w:rsidP="00886AF4">
            <w:pPr>
              <w:rPr>
                <w:sz w:val="22"/>
              </w:rPr>
            </w:pPr>
          </w:p>
        </w:tc>
      </w:tr>
    </w:tbl>
    <w:p w14:paraId="06A5A576" w14:textId="77777777" w:rsidR="00910E6C" w:rsidRDefault="00910E6C" w:rsidP="00171CFF">
      <w:pPr>
        <w:tabs>
          <w:tab w:val="left" w:pos="5763"/>
        </w:tabs>
        <w:spacing w:after="40"/>
        <w:ind w:left="392"/>
      </w:pPr>
      <w:r>
        <w:t xml:space="preserve"> </w:t>
      </w:r>
    </w:p>
    <w:p w14:paraId="16EDD8DE" w14:textId="77777777" w:rsidR="00910E6C" w:rsidRDefault="00910E6C" w:rsidP="00171CFF">
      <w:pPr>
        <w:tabs>
          <w:tab w:val="left" w:pos="5763"/>
        </w:tabs>
        <w:spacing w:after="40"/>
        <w:ind w:left="392"/>
      </w:pPr>
    </w:p>
    <w:p w14:paraId="1F390D31" w14:textId="77777777" w:rsidR="00BA0106" w:rsidRDefault="00BA0106" w:rsidP="00C62C83">
      <w:pPr>
        <w:pStyle w:val="ListParagraph"/>
        <w:ind w:left="142"/>
        <w:contextualSpacing w:val="0"/>
        <w:jc w:val="both"/>
      </w:pPr>
    </w:p>
    <w:p w14:paraId="3F568D57" w14:textId="1CD8ECB7" w:rsidR="00A41768" w:rsidRDefault="00A41768">
      <w:r>
        <w:br w:type="page"/>
      </w:r>
    </w:p>
    <w:p w14:paraId="166F4214" w14:textId="752E3AF6" w:rsidR="00A41768" w:rsidRPr="00C62C83" w:rsidRDefault="00A41768" w:rsidP="00A41768">
      <w:pPr>
        <w:pStyle w:val="Heading2"/>
        <w:spacing w:before="0" w:after="240" w:line="240" w:lineRule="auto"/>
        <w:rPr>
          <w:color w:val="1F3864" w:themeColor="accent5" w:themeShade="80"/>
          <w:sz w:val="28"/>
        </w:rPr>
      </w:pPr>
      <w:r>
        <w:rPr>
          <w:color w:val="1F3864" w:themeColor="accent5" w:themeShade="80"/>
          <w:sz w:val="28"/>
        </w:rPr>
        <w:lastRenderedPageBreak/>
        <w:t xml:space="preserve">References </w:t>
      </w:r>
    </w:p>
    <w:p w14:paraId="48FDEEB0" w14:textId="77777777" w:rsidR="007B1F19" w:rsidRPr="00C62C83" w:rsidRDefault="007B1F19" w:rsidP="00C62C83">
      <w:pPr>
        <w:pStyle w:val="ListParagraph"/>
        <w:ind w:left="142"/>
        <w:contextualSpacing w:val="0"/>
        <w:jc w:val="both"/>
      </w:pPr>
    </w:p>
    <w:sectPr w:rsidR="007B1F19" w:rsidRPr="00C62C83" w:rsidSect="00121D69">
      <w:footerReference w:type="first" r:id="rId10"/>
      <w:endnotePr>
        <w:numFmt w:val="decimal"/>
      </w:endnotePr>
      <w:pgSz w:w="11906" w:h="16838"/>
      <w:pgMar w:top="1440" w:right="1440" w:bottom="1440" w:left="1440" w:header="708" w:footer="5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1268C" w14:textId="77777777" w:rsidR="00FC0FC5" w:rsidRDefault="00FC0FC5" w:rsidP="00156F57">
      <w:pPr>
        <w:spacing w:after="0" w:line="240" w:lineRule="auto"/>
      </w:pPr>
      <w:r>
        <w:separator/>
      </w:r>
    </w:p>
  </w:endnote>
  <w:endnote w:type="continuationSeparator" w:id="0">
    <w:p w14:paraId="50A35C63" w14:textId="77777777" w:rsidR="00FC0FC5" w:rsidRDefault="00FC0FC5" w:rsidP="00156F57">
      <w:pPr>
        <w:spacing w:after="0" w:line="240" w:lineRule="auto"/>
      </w:pPr>
      <w:r>
        <w:continuationSeparator/>
      </w:r>
    </w:p>
  </w:endnote>
  <w:endnote w:id="1">
    <w:p w14:paraId="001AE3F2" w14:textId="429CD2B3" w:rsidR="00FC0FC5" w:rsidRPr="00A270F8" w:rsidRDefault="00FC0FC5">
      <w:pPr>
        <w:pStyle w:val="EndnoteText"/>
        <w:rPr>
          <w:sz w:val="18"/>
        </w:rPr>
      </w:pPr>
      <w:r w:rsidRPr="00A270F8">
        <w:rPr>
          <w:rStyle w:val="EndnoteReference"/>
          <w:sz w:val="18"/>
        </w:rPr>
        <w:endnoteRef/>
      </w:r>
      <w:r w:rsidRPr="00A270F8">
        <w:rPr>
          <w:sz w:val="18"/>
        </w:rPr>
        <w:t xml:space="preserve"> EPF Background Brief: Patient Empowerment (May 2015). Available at </w:t>
      </w:r>
      <w:hyperlink r:id="rId1" w:history="1">
        <w:r w:rsidRPr="00A270F8">
          <w:rPr>
            <w:rStyle w:val="Hyperlink"/>
            <w:sz w:val="18"/>
          </w:rPr>
          <w:t>www.eu-patient.eu/globalassets/campaign-patient-empowerment/briefing_paperpatient-empowerment_final_external.pdf</w:t>
        </w:r>
      </w:hyperlink>
      <w:r w:rsidRPr="00A270F8">
        <w:rPr>
          <w:sz w:val="18"/>
        </w:rPr>
        <w:t xml:space="preserve">  </w:t>
      </w:r>
    </w:p>
  </w:endnote>
  <w:endnote w:id="2">
    <w:p w14:paraId="461A8F0E" w14:textId="77777777" w:rsidR="004A47E8" w:rsidRPr="009D2C2D" w:rsidRDefault="004A47E8" w:rsidP="004A47E8">
      <w:pPr>
        <w:pStyle w:val="EndnoteText"/>
        <w:rPr>
          <w:sz w:val="18"/>
          <w:szCs w:val="18"/>
        </w:rPr>
      </w:pPr>
      <w:r w:rsidRPr="009D2C2D">
        <w:rPr>
          <w:rStyle w:val="EndnoteReference"/>
          <w:sz w:val="18"/>
          <w:szCs w:val="18"/>
        </w:rPr>
        <w:endnoteRef/>
      </w:r>
      <w:r w:rsidRPr="009D2C2D">
        <w:rPr>
          <w:sz w:val="18"/>
          <w:szCs w:val="18"/>
        </w:rPr>
        <w:t xml:space="preserve"> Herein after ‘Europe’ substitutes the European Union, as in certain contexts it is more appropriate to refer to Europe in geographical terms.</w:t>
      </w:r>
    </w:p>
  </w:endnote>
  <w:endnote w:id="3">
    <w:p w14:paraId="482DA445" w14:textId="77777777" w:rsidR="004A47E8" w:rsidRPr="00F90FD5" w:rsidRDefault="004A47E8" w:rsidP="004A47E8">
      <w:pPr>
        <w:pStyle w:val="EndnoteText"/>
        <w:rPr>
          <w:sz w:val="18"/>
          <w:szCs w:val="18"/>
        </w:rPr>
      </w:pPr>
      <w:r w:rsidRPr="00F90FD5">
        <w:rPr>
          <w:rStyle w:val="EndnoteReference"/>
          <w:sz w:val="18"/>
          <w:szCs w:val="18"/>
        </w:rPr>
        <w:endnoteRef/>
      </w:r>
      <w:r w:rsidRPr="00F90FD5">
        <w:rPr>
          <w:sz w:val="18"/>
          <w:szCs w:val="18"/>
        </w:rPr>
        <w:t xml:space="preserve"> Final report of the reflection process: Innovative approaches for chronic diseases in public health and healthcare systems, 11 November 2013</w:t>
      </w:r>
    </w:p>
  </w:endnote>
  <w:endnote w:id="4">
    <w:p w14:paraId="469B2D99" w14:textId="534C875E" w:rsidR="00F40852" w:rsidRDefault="00F40852">
      <w:pPr>
        <w:pStyle w:val="EndnoteText"/>
      </w:pPr>
      <w:r>
        <w:rPr>
          <w:rStyle w:val="EndnoteReference"/>
        </w:rPr>
        <w:endnoteRef/>
      </w:r>
      <w:r>
        <w:t xml:space="preserve"> e</w:t>
      </w:r>
      <w:r w:rsidRPr="00F40852">
        <w:t>.g. Realpe and Wallace, 2010</w:t>
      </w:r>
    </w:p>
  </w:endnote>
  <w:endnote w:id="5">
    <w:p w14:paraId="5B8EDFF6" w14:textId="464FD19D" w:rsidR="005C264A" w:rsidRDefault="005C264A">
      <w:pPr>
        <w:pStyle w:val="EndnoteText"/>
      </w:pPr>
      <w:r>
        <w:rPr>
          <w:rStyle w:val="EndnoteReference"/>
        </w:rPr>
        <w:endnoteRef/>
      </w:r>
      <w:r>
        <w:t xml:space="preserve"> </w:t>
      </w:r>
      <w:r w:rsidR="000C53F9">
        <w:t>reflection process final report, 2013.</w:t>
      </w:r>
    </w:p>
  </w:endnote>
  <w:endnote w:id="6">
    <w:p w14:paraId="36A83C91" w14:textId="77777777" w:rsidR="00FC0FC5" w:rsidRPr="009D2C2D" w:rsidRDefault="00FC0FC5" w:rsidP="00BC243D">
      <w:pPr>
        <w:pStyle w:val="EndnoteText"/>
        <w:rPr>
          <w:sz w:val="18"/>
          <w:szCs w:val="18"/>
        </w:rPr>
      </w:pPr>
      <w:r w:rsidRPr="009D2C2D">
        <w:rPr>
          <w:rStyle w:val="EndnoteReference"/>
          <w:sz w:val="18"/>
          <w:szCs w:val="18"/>
        </w:rPr>
        <w:endnoteRef/>
      </w:r>
      <w:r w:rsidRPr="009D2C2D">
        <w:rPr>
          <w:sz w:val="18"/>
          <w:szCs w:val="18"/>
        </w:rPr>
        <w:t xml:space="preserve"> R Jayadevappa and S Chhatre, “Patient Centered Care - A Conceptual Model and Review of the State of the Art”, </w:t>
      </w:r>
      <w:r w:rsidRPr="009D2C2D">
        <w:rPr>
          <w:i/>
          <w:sz w:val="18"/>
          <w:szCs w:val="18"/>
        </w:rPr>
        <w:t>The Open Health Services and Policy Journal</w:t>
      </w:r>
      <w:r w:rsidRPr="009D2C2D">
        <w:rPr>
          <w:sz w:val="18"/>
          <w:szCs w:val="18"/>
        </w:rPr>
        <w:t>, 2011, 4, 15-25)</w:t>
      </w:r>
    </w:p>
  </w:endnote>
  <w:endnote w:id="7">
    <w:p w14:paraId="6F28513A" w14:textId="77777777" w:rsidR="00FC0FC5" w:rsidRPr="009D2C2D" w:rsidRDefault="00FC0FC5" w:rsidP="00BC243D">
      <w:pPr>
        <w:pStyle w:val="EndnoteText"/>
        <w:rPr>
          <w:sz w:val="18"/>
          <w:szCs w:val="18"/>
        </w:rPr>
      </w:pPr>
      <w:r w:rsidRPr="009D2C2D">
        <w:rPr>
          <w:rStyle w:val="EndnoteReference"/>
          <w:sz w:val="18"/>
          <w:szCs w:val="18"/>
        </w:rPr>
        <w:endnoteRef/>
      </w:r>
      <w:r w:rsidRPr="009D2C2D">
        <w:rPr>
          <w:sz w:val="18"/>
          <w:szCs w:val="18"/>
        </w:rPr>
        <w:t xml:space="preserve"> Parsi et al. 2011, Olsson et al. 2009, Mulley et al. A 2012</w:t>
      </w:r>
    </w:p>
  </w:endnote>
  <w:endnote w:id="8">
    <w:p w14:paraId="78C11401" w14:textId="77777777" w:rsidR="00FC0FC5" w:rsidRPr="009D2C2D" w:rsidRDefault="00FC0FC5" w:rsidP="00BC243D">
      <w:pPr>
        <w:pStyle w:val="EndnoteText"/>
        <w:rPr>
          <w:sz w:val="18"/>
          <w:szCs w:val="18"/>
        </w:rPr>
      </w:pPr>
      <w:r w:rsidRPr="009D2C2D">
        <w:rPr>
          <w:rStyle w:val="EndnoteReference"/>
          <w:sz w:val="18"/>
          <w:szCs w:val="18"/>
        </w:rPr>
        <w:endnoteRef/>
      </w:r>
      <w:r w:rsidRPr="009D2C2D">
        <w:rPr>
          <w:sz w:val="18"/>
          <w:szCs w:val="18"/>
        </w:rPr>
        <w:t xml:space="preserve"> Mulley et al. Patients’ preferences matter: Stop the silent misdiagnosis. The King’s Fund, 29 May 2012; Arterburn et al. “Introducing decision aids at Group are you Health was linked to sharply lower hip and knee surgery rates and costs”, </w:t>
      </w:r>
      <w:r w:rsidRPr="009D2C2D">
        <w:rPr>
          <w:i/>
          <w:sz w:val="18"/>
          <w:szCs w:val="18"/>
        </w:rPr>
        <w:t>Health Aff</w:t>
      </w:r>
      <w:r w:rsidRPr="009D2C2D">
        <w:rPr>
          <w:sz w:val="18"/>
          <w:szCs w:val="18"/>
        </w:rPr>
        <w:t xml:space="preserve"> (Millwood). 2012 Sep;31(9):2094-104; Veroff D, Marr A, Wennberg DE: “Enhanced Support For Shared Decision Making Reduced Costs Of Care For Patients With Preference-Sensitive Conditions”. Health Affairs, February 2013, vol. 32, no. 2, 285</w:t>
      </w:r>
    </w:p>
  </w:endnote>
  <w:endnote w:id="9">
    <w:p w14:paraId="226ABD86" w14:textId="50827C70" w:rsidR="00FC0FC5" w:rsidRPr="00F90FD5" w:rsidRDefault="00FC0FC5">
      <w:pPr>
        <w:pStyle w:val="EndnoteText"/>
        <w:rPr>
          <w:sz w:val="18"/>
          <w:szCs w:val="18"/>
        </w:rPr>
      </w:pPr>
      <w:r w:rsidRPr="00F90FD5">
        <w:rPr>
          <w:rStyle w:val="EndnoteReference"/>
          <w:sz w:val="18"/>
          <w:szCs w:val="18"/>
        </w:rPr>
        <w:endnoteRef/>
      </w:r>
      <w:r w:rsidRPr="00F90FD5">
        <w:rPr>
          <w:sz w:val="18"/>
          <w:szCs w:val="18"/>
        </w:rPr>
        <w:t xml:space="preserve"> </w:t>
      </w:r>
      <w:r w:rsidRPr="00F90FD5">
        <w:rPr>
          <w:sz w:val="18"/>
          <w:szCs w:val="18"/>
          <w:highlight w:val="yellow"/>
        </w:rPr>
        <w:t>charter available at</w:t>
      </w:r>
    </w:p>
  </w:endnote>
  <w:endnote w:id="10">
    <w:p w14:paraId="38030C1F" w14:textId="77777777" w:rsidR="00FC0FC5" w:rsidRPr="00C41766" w:rsidRDefault="00FC0FC5" w:rsidP="00C41766">
      <w:pPr>
        <w:pStyle w:val="EndnoteText"/>
        <w:rPr>
          <w:sz w:val="18"/>
        </w:rPr>
      </w:pPr>
      <w:r w:rsidRPr="00C41766">
        <w:rPr>
          <w:rStyle w:val="EndnoteReference"/>
          <w:sz w:val="18"/>
        </w:rPr>
        <w:endnoteRef/>
      </w:r>
      <w:r w:rsidRPr="00C41766">
        <w:rPr>
          <w:sz w:val="18"/>
        </w:rPr>
        <w:t xml:space="preserve"> EMPATHiE. Empowering Patients in the Management of Chronic Diseases. Final report, 10 November 2014; Wallerstein, N (2006) “What is the evidence on effectiveness of empowerment to improve health?” Copenhagen, WHO Regional Office for Europe (Health Evidence Network report).</w:t>
      </w:r>
    </w:p>
  </w:endnote>
  <w:endnote w:id="11">
    <w:p w14:paraId="20A4C4CD" w14:textId="77777777" w:rsidR="00FC0FC5" w:rsidRPr="00C41766" w:rsidRDefault="00FC0FC5">
      <w:pPr>
        <w:pStyle w:val="EndnoteText"/>
        <w:rPr>
          <w:sz w:val="18"/>
        </w:rPr>
      </w:pPr>
      <w:r w:rsidRPr="00C41766">
        <w:rPr>
          <w:rStyle w:val="EndnoteReference"/>
          <w:sz w:val="18"/>
        </w:rPr>
        <w:endnoteRef/>
      </w:r>
      <w:r w:rsidRPr="00C41766">
        <w:rPr>
          <w:sz w:val="18"/>
        </w:rPr>
        <w:t xml:space="preserve"> Sørensen et al. “Health literacy and public health: A systematic review and integration of definitions and models”, </w:t>
      </w:r>
      <w:r w:rsidRPr="00C41766">
        <w:rPr>
          <w:i/>
          <w:sz w:val="18"/>
        </w:rPr>
        <w:t>BMC Public Health</w:t>
      </w:r>
      <w:r w:rsidRPr="00C41766">
        <w:rPr>
          <w:sz w:val="18"/>
        </w:rPr>
        <w:t xml:space="preserve"> 2012, 12:80.</w:t>
      </w:r>
    </w:p>
  </w:endnote>
  <w:endnote w:id="12">
    <w:p w14:paraId="6C1EA5CA" w14:textId="4D88FFB8" w:rsidR="00FC0FC5" w:rsidRPr="00C41766" w:rsidRDefault="00FC0FC5">
      <w:pPr>
        <w:pStyle w:val="EndnoteText"/>
        <w:rPr>
          <w:sz w:val="18"/>
        </w:rPr>
      </w:pPr>
      <w:r w:rsidRPr="00C41766">
        <w:rPr>
          <w:rStyle w:val="EndnoteReference"/>
          <w:sz w:val="18"/>
        </w:rPr>
        <w:endnoteRef/>
      </w:r>
      <w:r w:rsidRPr="00C41766">
        <w:rPr>
          <w:sz w:val="18"/>
          <w:lang w:val="de-AT"/>
        </w:rPr>
        <w:t xml:space="preserve"> Eichler, K et al. </w:t>
      </w:r>
      <w:r w:rsidRPr="00C41766">
        <w:rPr>
          <w:sz w:val="18"/>
        </w:rPr>
        <w:t xml:space="preserve">(2009). “The costs of limited health literacy: a systematic review”, </w:t>
      </w:r>
      <w:r w:rsidRPr="00C41766">
        <w:rPr>
          <w:i/>
          <w:sz w:val="18"/>
        </w:rPr>
        <w:t>Int J Public Health</w:t>
      </w:r>
      <w:r w:rsidRPr="00C41766">
        <w:rPr>
          <w:sz w:val="18"/>
        </w:rPr>
        <w:t xml:space="preserve">, 2009;54(5):313-24; World Health Communication Associates 2010; WHO Europe 2013, Health Literacy: The Solid Facts. </w:t>
      </w:r>
    </w:p>
  </w:endnote>
  <w:endnote w:id="13">
    <w:p w14:paraId="2037E552" w14:textId="0BE0CBEB" w:rsidR="00854108" w:rsidRDefault="00854108">
      <w:pPr>
        <w:pStyle w:val="EndnoteText"/>
      </w:pPr>
      <w:r>
        <w:rPr>
          <w:rStyle w:val="EndnoteReference"/>
        </w:rPr>
        <w:endnoteRef/>
      </w:r>
      <w:r>
        <w:t xml:space="preserve"> </w:t>
      </w:r>
      <w:r w:rsidRPr="00854108">
        <w:t>(Regulation (EU) No 282/2014, recital 12)</w:t>
      </w:r>
    </w:p>
  </w:endnote>
  <w:endnote w:id="14">
    <w:p w14:paraId="6ECB34DC" w14:textId="55703F74" w:rsidR="00FC0FC5" w:rsidRPr="00C41766" w:rsidRDefault="00FC0FC5" w:rsidP="004B026A">
      <w:pPr>
        <w:pStyle w:val="EndnoteText"/>
        <w:rPr>
          <w:sz w:val="18"/>
        </w:rPr>
      </w:pPr>
      <w:r w:rsidRPr="00C41766">
        <w:rPr>
          <w:rStyle w:val="EndnoteReference"/>
          <w:sz w:val="18"/>
        </w:rPr>
        <w:endnoteRef/>
      </w:r>
      <w:r w:rsidRPr="00C41766">
        <w:rPr>
          <w:sz w:val="18"/>
        </w:rPr>
        <w:t xml:space="preserve"> Countries: Austria, Bulgaria, Germany, Greece, Ireland, The Netherlands, Poland and Spain. HLS-EU Consortium (2012): Comparative Report of Health Literacy in Eight EU Member States. The European Health Literacy Survey HLS-EU (first revised and extended version, dated 5 July 2013). </w:t>
      </w:r>
    </w:p>
  </w:endnote>
  <w:endnote w:id="15">
    <w:p w14:paraId="04B7CD24" w14:textId="09736AEE" w:rsidR="00FC0FC5" w:rsidRPr="00C41766" w:rsidRDefault="00FC0FC5">
      <w:pPr>
        <w:pStyle w:val="EndnoteText"/>
        <w:rPr>
          <w:sz w:val="18"/>
        </w:rPr>
      </w:pPr>
      <w:r w:rsidRPr="00C41766">
        <w:rPr>
          <w:rStyle w:val="EndnoteReference"/>
          <w:sz w:val="18"/>
        </w:rPr>
        <w:endnoteRef/>
      </w:r>
      <w:r w:rsidRPr="00C41766">
        <w:rPr>
          <w:sz w:val="18"/>
        </w:rPr>
        <w:t xml:space="preserve"> “Making health literacy a priority in EU policy”. Consensus paper by CPME, EPF, Maastricht University and MSD. June 2013.</w:t>
      </w:r>
    </w:p>
  </w:endnote>
  <w:endnote w:id="16">
    <w:p w14:paraId="473E2508" w14:textId="2CE6FB3D" w:rsidR="00FC0FC5" w:rsidRPr="00C41766" w:rsidRDefault="00FC0FC5" w:rsidP="00C41766">
      <w:pPr>
        <w:pStyle w:val="EndnoteText"/>
        <w:rPr>
          <w:sz w:val="18"/>
        </w:rPr>
      </w:pPr>
      <w:r w:rsidRPr="00C41766">
        <w:rPr>
          <w:rStyle w:val="EndnoteReference"/>
          <w:sz w:val="18"/>
        </w:rPr>
        <w:endnoteRef/>
      </w:r>
      <w:r w:rsidRPr="00C41766">
        <w:rPr>
          <w:sz w:val="18"/>
        </w:rPr>
        <w:t xml:space="preserve"> “Study on sound evidence for a better understanding of health literacy in the European Union”. RfS Chafea/2014/health/01. Final Report, June 2015. </w:t>
      </w:r>
    </w:p>
  </w:endnote>
  <w:endnote w:id="17">
    <w:p w14:paraId="1A45A33D" w14:textId="3365AED1" w:rsidR="00FC0FC5" w:rsidRPr="00C41766" w:rsidRDefault="00FC0FC5">
      <w:pPr>
        <w:pStyle w:val="EndnoteText"/>
        <w:rPr>
          <w:sz w:val="18"/>
        </w:rPr>
      </w:pPr>
      <w:r w:rsidRPr="00C41766">
        <w:rPr>
          <w:rStyle w:val="EndnoteReference"/>
          <w:sz w:val="18"/>
        </w:rPr>
        <w:endnoteRef/>
      </w:r>
      <w:r w:rsidRPr="00C41766">
        <w:rPr>
          <w:sz w:val="18"/>
        </w:rPr>
        <w:t xml:space="preserve"> </w:t>
      </w:r>
      <w:hyperlink r:id="rId2" w:history="1">
        <w:r w:rsidRPr="00C41766">
          <w:rPr>
            <w:rStyle w:val="Hyperlink"/>
            <w:sz w:val="18"/>
          </w:rPr>
          <w:t>www.irohla.eu/home/</w:t>
        </w:r>
      </w:hyperlink>
      <w:r w:rsidRPr="00C41766">
        <w:rPr>
          <w:sz w:val="18"/>
        </w:rPr>
        <w:t xml:space="preserve"> and </w:t>
      </w:r>
      <w:hyperlink r:id="rId3" w:history="1">
        <w:r w:rsidRPr="00C41766">
          <w:rPr>
            <w:rStyle w:val="Hyperlink"/>
            <w:sz w:val="18"/>
          </w:rPr>
          <w:t>www.diabetesliteracy.eu</w:t>
        </w:r>
      </w:hyperlink>
      <w:r w:rsidRPr="00C41766">
        <w:rPr>
          <w:sz w:val="18"/>
        </w:rPr>
        <w:t xml:space="preserve"> </w:t>
      </w:r>
    </w:p>
  </w:endnote>
  <w:endnote w:id="18">
    <w:p w14:paraId="5AC54990" w14:textId="197CAA76" w:rsidR="00FC0FC5" w:rsidRPr="00C41766" w:rsidRDefault="00FC0FC5">
      <w:pPr>
        <w:pStyle w:val="EndnoteText"/>
        <w:rPr>
          <w:sz w:val="18"/>
        </w:rPr>
      </w:pPr>
      <w:r w:rsidRPr="00C41766">
        <w:rPr>
          <w:rStyle w:val="EndnoteReference"/>
          <w:sz w:val="18"/>
        </w:rPr>
        <w:endnoteRef/>
      </w:r>
      <w:r w:rsidRPr="00C41766">
        <w:rPr>
          <w:sz w:val="18"/>
        </w:rPr>
        <w:t xml:space="preserve"> A set of quality principles for information to patients was developed by the EU High-Level Pharmaceutical Forum in 2008, but is not systematically used. See the “Core quality principles adopted by the EU High-Level Pharmaceutical Forum (2008) available at </w:t>
      </w:r>
      <w:hyperlink r:id="rId4" w:history="1">
        <w:r w:rsidRPr="00C41766">
          <w:rPr>
            <w:rStyle w:val="Hyperlink"/>
            <w:sz w:val="18"/>
          </w:rPr>
          <w:t>http://ec.europa.eu/DocsRoom/documents/7593?locale=en</w:t>
        </w:r>
      </w:hyperlink>
      <w:r w:rsidRPr="00C41766">
        <w:rPr>
          <w:sz w:val="18"/>
        </w:rPr>
        <w:t xml:space="preserve"> </w:t>
      </w:r>
    </w:p>
  </w:endnote>
  <w:endnote w:id="19">
    <w:p w14:paraId="46FDF3E0" w14:textId="77777777" w:rsidR="00FC0FC5" w:rsidRDefault="00FC0FC5" w:rsidP="00BC580D">
      <w:pPr>
        <w:pStyle w:val="EndnoteText"/>
      </w:pPr>
      <w:r>
        <w:rPr>
          <w:rStyle w:val="EndnoteReference"/>
        </w:rPr>
        <w:endnoteRef/>
      </w:r>
      <w:r>
        <w:t xml:space="preserve"> </w:t>
      </w:r>
      <w:r w:rsidRPr="00CB48E3">
        <w:t>EXPH, 2014, p. 71</w:t>
      </w:r>
      <w:r>
        <w:t>.</w:t>
      </w:r>
    </w:p>
  </w:endnote>
  <w:endnote w:id="20">
    <w:p w14:paraId="75B9B094" w14:textId="77777777" w:rsidR="00FC0FC5" w:rsidRPr="0055158C" w:rsidRDefault="00FC0FC5" w:rsidP="00664B02">
      <w:pPr>
        <w:pStyle w:val="EndnoteText"/>
      </w:pPr>
      <w:r w:rsidRPr="00A223C2">
        <w:rPr>
          <w:rStyle w:val="EndnoteReference"/>
          <w:sz w:val="18"/>
          <w:szCs w:val="18"/>
        </w:rPr>
        <w:endnoteRef/>
      </w:r>
      <w:r w:rsidRPr="00A223C2">
        <w:rPr>
          <w:sz w:val="18"/>
          <w:szCs w:val="18"/>
        </w:rPr>
        <w:t xml:space="preserve"> </w:t>
      </w:r>
      <w:hyperlink r:id="rId5" w:history="1">
        <w:r w:rsidRPr="00A223C2">
          <w:rPr>
            <w:rStyle w:val="Hyperlink"/>
            <w:sz w:val="18"/>
            <w:szCs w:val="18"/>
          </w:rPr>
          <w:t>http://www.eu-patient.eu/whatwedo/Policy/A-Z-list-of-topics/</w:t>
        </w:r>
      </w:hyperlink>
      <w:r w:rsidRPr="00A223C2">
        <w:rPr>
          <w:sz w:val="18"/>
          <w:szCs w:val="18"/>
        </w:rPr>
        <w:t xml:space="preserve"> </w:t>
      </w:r>
    </w:p>
  </w:endnote>
  <w:endnote w:id="21">
    <w:p w14:paraId="6FB81546" w14:textId="77777777" w:rsidR="00FC0FC5" w:rsidRDefault="00FC0FC5">
      <w:pPr>
        <w:pStyle w:val="EndnoteText"/>
      </w:pPr>
      <w:r>
        <w:rPr>
          <w:rStyle w:val="EndnoteReference"/>
        </w:rPr>
        <w:endnoteRef/>
      </w:r>
      <w:r>
        <w:t xml:space="preserve"> EPF position paper on adherence and concordance (2015).</w:t>
      </w:r>
    </w:p>
  </w:endnote>
  <w:endnote w:id="22">
    <w:p w14:paraId="3FDF42A9" w14:textId="34966508" w:rsidR="00FC0FC5" w:rsidRDefault="00FC0FC5">
      <w:pPr>
        <w:pStyle w:val="EndnoteText"/>
      </w:pPr>
      <w:r>
        <w:rPr>
          <w:rStyle w:val="EndnoteReference"/>
        </w:rPr>
        <w:endnoteRef/>
      </w:r>
      <w:r>
        <w:t xml:space="preserve"> De Silva (2011) “</w:t>
      </w:r>
      <w:r w:rsidRPr="00D4765F">
        <w:t>Evidence: Helping people help themselves</w:t>
      </w:r>
      <w:r>
        <w:t>.</w:t>
      </w:r>
      <w:r w:rsidRPr="00D4765F">
        <w:t xml:space="preserve"> A review of the evidence considering whether it is worthwhile to support self-management</w:t>
      </w:r>
      <w:r>
        <w:t>”.</w:t>
      </w:r>
      <w:r w:rsidRPr="00D4765F">
        <w:t xml:space="preserve"> </w:t>
      </w:r>
      <w:r w:rsidRPr="005F2053">
        <w:t>The Health Foundation, 2011.</w:t>
      </w:r>
    </w:p>
  </w:endnote>
  <w:endnote w:id="23">
    <w:p w14:paraId="68299890" w14:textId="77777777" w:rsidR="00FC0FC5" w:rsidRPr="00A223C2" w:rsidRDefault="00FC0FC5" w:rsidP="00C759C7">
      <w:pPr>
        <w:pStyle w:val="EndnoteText"/>
        <w:rPr>
          <w:sz w:val="18"/>
          <w:szCs w:val="18"/>
        </w:rPr>
      </w:pPr>
      <w:r w:rsidRPr="00A223C2">
        <w:rPr>
          <w:rStyle w:val="EndnoteReference"/>
          <w:sz w:val="18"/>
          <w:szCs w:val="18"/>
        </w:rPr>
        <w:endnoteRef/>
      </w:r>
      <w:r w:rsidRPr="00A223C2">
        <w:rPr>
          <w:sz w:val="18"/>
          <w:szCs w:val="18"/>
        </w:rPr>
        <w:t xml:space="preserve"> </w:t>
      </w:r>
      <w:r w:rsidRPr="00664B02">
        <w:rPr>
          <w:szCs w:val="18"/>
        </w:rPr>
        <w:t>E.g. in management of allergy, asthma and COPD in the Nordic countries and the UK (</w:t>
      </w:r>
      <w:r>
        <w:rPr>
          <w:szCs w:val="18"/>
        </w:rPr>
        <w:t>European Federation of Allergy and Airways Disease Patients’ Associations</w:t>
      </w:r>
      <w:r w:rsidRPr="00664B02">
        <w:rPr>
          <w:szCs w:val="18"/>
        </w:rPr>
        <w:t>).</w:t>
      </w:r>
    </w:p>
  </w:endnote>
  <w:endnote w:id="24">
    <w:p w14:paraId="041513D9" w14:textId="77777777" w:rsidR="00FC0FC5" w:rsidRDefault="00FC0FC5" w:rsidP="00664B02">
      <w:pPr>
        <w:pStyle w:val="EndnoteText"/>
      </w:pPr>
      <w:r>
        <w:rPr>
          <w:rStyle w:val="EndnoteReference"/>
        </w:rPr>
        <w:endnoteRef/>
      </w:r>
      <w:r>
        <w:t xml:space="preserve"> </w:t>
      </w:r>
      <w:r w:rsidRPr="00EC4791">
        <w:t>Bodenheimer et al (2002) “Improving primary care for patients with chronic illness. The chronic care model, part 2.” JAMA 2002; 288: 1909-1914</w:t>
      </w:r>
      <w:r>
        <w:t xml:space="preserve">; </w:t>
      </w:r>
      <w:r w:rsidRPr="00EC4791">
        <w:t>Wagner, EH (1988) “Chronic disease management: what will it take to improve care for chronic illness?” Eff Clin Pract. 1998 Aug-Sep; 1(1):2-4.</w:t>
      </w:r>
    </w:p>
  </w:endnote>
  <w:endnote w:id="25">
    <w:p w14:paraId="37A71139" w14:textId="77777777" w:rsidR="00FC0FC5" w:rsidRPr="00EC4791" w:rsidRDefault="00FC0FC5" w:rsidP="00664B02">
      <w:pPr>
        <w:pStyle w:val="EndnoteText"/>
      </w:pPr>
      <w:r>
        <w:rPr>
          <w:rStyle w:val="EndnoteReference"/>
        </w:rPr>
        <w:endnoteRef/>
      </w:r>
      <w:r>
        <w:t xml:space="preserve"> </w:t>
      </w:r>
      <w:hyperlink r:id="rId6" w:history="1">
        <w:r w:rsidRPr="004029F2">
          <w:rPr>
            <w:rStyle w:val="Hyperlink"/>
          </w:rPr>
          <w:t>http://patienteducation.stanford.edu</w:t>
        </w:r>
      </w:hyperlink>
      <w:r>
        <w:t xml:space="preserve">  </w:t>
      </w:r>
    </w:p>
  </w:endnote>
  <w:endnote w:id="26">
    <w:p w14:paraId="71EE83EE" w14:textId="73FC2404" w:rsidR="00FC0FC5" w:rsidRDefault="00FC0FC5">
      <w:pPr>
        <w:pStyle w:val="EndnoteText"/>
      </w:pPr>
      <w:r>
        <w:rPr>
          <w:rStyle w:val="EndnoteReference"/>
        </w:rPr>
        <w:endnoteRef/>
      </w:r>
      <w:r>
        <w:t xml:space="preserve"> </w:t>
      </w:r>
      <w:r w:rsidRPr="00DA14D5">
        <w:t>COM(2012)736 final, p. 9</w:t>
      </w:r>
    </w:p>
  </w:endnote>
  <w:endnote w:id="27">
    <w:p w14:paraId="625F199E" w14:textId="77777777" w:rsidR="00FC0FC5" w:rsidRDefault="00FC0FC5" w:rsidP="002C3D38">
      <w:pPr>
        <w:pStyle w:val="EndnoteText"/>
      </w:pPr>
      <w:r>
        <w:rPr>
          <w:rStyle w:val="EndnoteReference"/>
        </w:rPr>
        <w:endnoteRef/>
      </w:r>
      <w:r>
        <w:t xml:space="preserve"> See also</w:t>
      </w:r>
      <w:r w:rsidRPr="007841AB">
        <w:t xml:space="preserve"> </w:t>
      </w:r>
      <w:r>
        <w:t>project “</w:t>
      </w:r>
      <w:r w:rsidRPr="007841AB">
        <w:t>Chain of Trust</w:t>
      </w:r>
      <w:r>
        <w:t>”</w:t>
      </w:r>
      <w:r w:rsidRPr="007841AB">
        <w:t xml:space="preserve"> final report, 2013</w:t>
      </w:r>
      <w:r>
        <w:t xml:space="preserve"> at </w:t>
      </w:r>
      <w:hyperlink r:id="rId7" w:history="1">
        <w:r w:rsidRPr="004029F2">
          <w:rPr>
            <w:rStyle w:val="Hyperlink"/>
          </w:rPr>
          <w:t>www.eu-patient.eu</w:t>
        </w:r>
      </w:hyperlink>
      <w:r>
        <w:t xml:space="preserve"> </w:t>
      </w:r>
    </w:p>
  </w:endnote>
  <w:endnote w:id="28">
    <w:p w14:paraId="7FCE5B1D" w14:textId="77777777" w:rsidR="00FC0FC5" w:rsidRDefault="00FC0FC5" w:rsidP="009218C1">
      <w:pPr>
        <w:pStyle w:val="EndnoteText"/>
        <w:jc w:val="both"/>
      </w:pPr>
      <w:r>
        <w:rPr>
          <w:rStyle w:val="EndnoteReference"/>
        </w:rPr>
        <w:endnoteRef/>
      </w:r>
      <w:r>
        <w:t xml:space="preserve"> A useful definition of patient safety culture:</w:t>
      </w:r>
      <w:r w:rsidRPr="008817C6">
        <w:t xml:space="preserve"> </w:t>
      </w:r>
      <w:r>
        <w:t>“A safety culture is where staff within an organisation have a constant and active awareness of the potential for things to go wrong. Both the staff and the organisation are able to acknowledge mistakes, learn from them, and take action to put things right. To reduce the likelihood of incidents occurring, patient safety needs to be addressed at an institutional level, ‘from trust board to ward’, as well as by designing out errors in processes and equipment.”</w:t>
      </w:r>
    </w:p>
    <w:p w14:paraId="2A8A5CE0" w14:textId="77777777" w:rsidR="00FC0FC5" w:rsidRPr="00870006" w:rsidRDefault="00FC0FC5" w:rsidP="009218C1">
      <w:pPr>
        <w:pStyle w:val="EndnoteText"/>
        <w:jc w:val="both"/>
        <w:rPr>
          <w:lang w:val="fr-FR"/>
        </w:rPr>
      </w:pPr>
      <w:r w:rsidRPr="00870006">
        <w:rPr>
          <w:lang w:val="fr-FR"/>
        </w:rPr>
        <w:t xml:space="preserve">(Source: </w:t>
      </w:r>
    </w:p>
    <w:p w14:paraId="1919C23D" w14:textId="77777777" w:rsidR="00FC0FC5" w:rsidRPr="00870006" w:rsidRDefault="00121D69" w:rsidP="009218C1">
      <w:pPr>
        <w:pStyle w:val="EndnoteText"/>
        <w:jc w:val="both"/>
        <w:rPr>
          <w:lang w:val="fr-FR"/>
        </w:rPr>
      </w:pPr>
      <w:hyperlink r:id="rId8" w:history="1">
        <w:r w:rsidR="00FC0FC5" w:rsidRPr="00870006">
          <w:rPr>
            <w:rStyle w:val="Hyperlink"/>
            <w:lang w:val="fr-FR"/>
          </w:rPr>
          <w:t>www.nrls.npsa.nhs.uk/resources/patient-safety-topics/human-factors-patient-safety-culture/</w:t>
        </w:r>
      </w:hyperlink>
      <w:r w:rsidR="00FC0FC5" w:rsidRPr="00870006">
        <w:rPr>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5E5B" w14:textId="77777777" w:rsidR="00121D69" w:rsidRPr="00121D69" w:rsidRDefault="00121D69" w:rsidP="00121D69">
    <w:pPr>
      <w:pStyle w:val="Footer"/>
      <w:jc w:val="center"/>
      <w:rPr>
        <w:sz w:val="22"/>
      </w:rPr>
    </w:pPr>
    <w:r w:rsidRPr="00121D69">
      <w:rPr>
        <w:sz w:val="14"/>
      </w:rPr>
      <w:t>This campaign is a joint initiative of the European Patients’ Forum and the Robert Bosch Stiftung with the support of Amgen, GSK and MSD.</w:t>
    </w:r>
  </w:p>
  <w:p w14:paraId="3E00B6D4" w14:textId="77777777" w:rsidR="00121D69" w:rsidRDefault="00121D69" w:rsidP="00121D69">
    <w:pPr>
      <w:pStyle w:val="Footer"/>
    </w:pPr>
    <w:r>
      <w:rPr>
        <w:noProof/>
        <w:lang w:eastAsia="en-GB"/>
      </w:rPr>
      <w:drawing>
        <wp:anchor distT="0" distB="0" distL="114300" distR="114300" simplePos="0" relativeHeight="251660288" behindDoc="1" locked="0" layoutInCell="1" allowOverlap="1" wp14:anchorId="3C72C0E7" wp14:editId="195F2840">
          <wp:simplePos x="0" y="0"/>
          <wp:positionH relativeFrom="margin">
            <wp:align>center</wp:align>
          </wp:positionH>
          <wp:positionV relativeFrom="paragraph">
            <wp:posOffset>35560</wp:posOffset>
          </wp:positionV>
          <wp:extent cx="2094865" cy="217805"/>
          <wp:effectExtent l="0" t="0" r="635" b="0"/>
          <wp:wrapTight wrapText="bothSides">
            <wp:wrapPolygon edited="0">
              <wp:start x="0" y="0"/>
              <wp:lineTo x="0" y="18892"/>
              <wp:lineTo x="21410" y="18892"/>
              <wp:lineTo x="214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Toolbox_rbs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865" cy="217805"/>
                  </a:xfrm>
                  <a:prstGeom prst="rect">
                    <a:avLst/>
                  </a:prstGeom>
                </pic:spPr>
              </pic:pic>
            </a:graphicData>
          </a:graphic>
          <wp14:sizeRelH relativeFrom="page">
            <wp14:pctWidth>0</wp14:pctWidth>
          </wp14:sizeRelH>
          <wp14:sizeRelV relativeFrom="page">
            <wp14:pctHeight>0</wp14:pctHeight>
          </wp14:sizeRelV>
        </wp:anchor>
      </w:drawing>
    </w:r>
  </w:p>
  <w:p w14:paraId="33308047" w14:textId="77777777" w:rsidR="00121D69" w:rsidRDefault="00121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153B" w14:textId="77777777" w:rsidR="00FC0FC5" w:rsidRDefault="00FC0FC5" w:rsidP="00156F57">
      <w:pPr>
        <w:spacing w:after="0" w:line="240" w:lineRule="auto"/>
      </w:pPr>
      <w:r>
        <w:separator/>
      </w:r>
    </w:p>
  </w:footnote>
  <w:footnote w:type="continuationSeparator" w:id="0">
    <w:p w14:paraId="1B1F4394" w14:textId="77777777" w:rsidR="00FC0FC5" w:rsidRDefault="00FC0FC5" w:rsidP="001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49D"/>
    <w:multiLevelType w:val="hybridMultilevel"/>
    <w:tmpl w:val="DB1EB2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192"/>
    <w:multiLevelType w:val="hybridMultilevel"/>
    <w:tmpl w:val="755A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541D"/>
    <w:multiLevelType w:val="multilevel"/>
    <w:tmpl w:val="4B9400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830A0"/>
    <w:multiLevelType w:val="hybridMultilevel"/>
    <w:tmpl w:val="30D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945E0"/>
    <w:multiLevelType w:val="hybridMultilevel"/>
    <w:tmpl w:val="E0B65E10"/>
    <w:lvl w:ilvl="0" w:tplc="1C4631C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977D4"/>
    <w:multiLevelType w:val="hybridMultilevel"/>
    <w:tmpl w:val="C8C25632"/>
    <w:lvl w:ilvl="0" w:tplc="E3281E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0632D"/>
    <w:multiLevelType w:val="hybridMultilevel"/>
    <w:tmpl w:val="5C0ED92E"/>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42D21"/>
    <w:multiLevelType w:val="hybridMultilevel"/>
    <w:tmpl w:val="9AE4A972"/>
    <w:lvl w:ilvl="0" w:tplc="7634157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A5EF1"/>
    <w:multiLevelType w:val="hybridMultilevel"/>
    <w:tmpl w:val="0F42BE7A"/>
    <w:lvl w:ilvl="0" w:tplc="E49E432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F9269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DA29E4"/>
    <w:multiLevelType w:val="multilevel"/>
    <w:tmpl w:val="4B9400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9975F0"/>
    <w:multiLevelType w:val="multilevel"/>
    <w:tmpl w:val="4B9400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151841"/>
    <w:multiLevelType w:val="hybridMultilevel"/>
    <w:tmpl w:val="E4F66D44"/>
    <w:lvl w:ilvl="0" w:tplc="81B8DFEC">
      <w:start w:val="1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946BF"/>
    <w:multiLevelType w:val="hybridMultilevel"/>
    <w:tmpl w:val="C9C069E6"/>
    <w:lvl w:ilvl="0" w:tplc="F72AB9F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72DA0"/>
    <w:multiLevelType w:val="hybridMultilevel"/>
    <w:tmpl w:val="0EAE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62987"/>
    <w:multiLevelType w:val="hybridMultilevel"/>
    <w:tmpl w:val="CDE2F7B4"/>
    <w:lvl w:ilvl="0" w:tplc="9EEEA2B4">
      <w:start w:val="1"/>
      <w:numFmt w:val="bullet"/>
      <w:lvlText w:val=""/>
      <w:lvlJc w:val="left"/>
      <w:pPr>
        <w:ind w:left="1080" w:hanging="72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E0CF3"/>
    <w:multiLevelType w:val="hybridMultilevel"/>
    <w:tmpl w:val="EF9CCFBA"/>
    <w:lvl w:ilvl="0" w:tplc="E51032B0">
      <w:start w:val="1"/>
      <w:numFmt w:val="bullet"/>
      <w:lvlText w:val=""/>
      <w:lvlJc w:val="left"/>
      <w:pPr>
        <w:ind w:left="1080" w:hanging="720"/>
      </w:pPr>
      <w:rPr>
        <w:rFonts w:ascii="Symbol" w:hAnsi="Symbol" w:hint="default"/>
        <w:color w:val="00B05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4"/>
  </w:num>
  <w:num w:numId="5">
    <w:abstractNumId w:val="15"/>
  </w:num>
  <w:num w:numId="6">
    <w:abstractNumId w:val="16"/>
  </w:num>
  <w:num w:numId="7">
    <w:abstractNumId w:val="0"/>
  </w:num>
  <w:num w:numId="8">
    <w:abstractNumId w:val="2"/>
  </w:num>
  <w:num w:numId="9">
    <w:abstractNumId w:val="9"/>
  </w:num>
  <w:num w:numId="10">
    <w:abstractNumId w:val="10"/>
  </w:num>
  <w:num w:numId="11">
    <w:abstractNumId w:val="12"/>
  </w:num>
  <w:num w:numId="12">
    <w:abstractNumId w:val="5"/>
  </w:num>
  <w:num w:numId="13">
    <w:abstractNumId w:val="7"/>
  </w:num>
  <w:num w:numId="14">
    <w:abstractNumId w:val="8"/>
  </w:num>
  <w:num w:numId="15">
    <w:abstractNumId w:val="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BED799C-2E66-4056-ADFA-5FE803E0E09D}"/>
    <w:docVar w:name="dgnword-eventsink" w:val="211211560"/>
  </w:docVars>
  <w:rsids>
    <w:rsidRoot w:val="007D4EF3"/>
    <w:rsid w:val="000065D1"/>
    <w:rsid w:val="00015FED"/>
    <w:rsid w:val="00022F0E"/>
    <w:rsid w:val="0003265F"/>
    <w:rsid w:val="000728EC"/>
    <w:rsid w:val="00073899"/>
    <w:rsid w:val="00082427"/>
    <w:rsid w:val="00091357"/>
    <w:rsid w:val="000C53F9"/>
    <w:rsid w:val="000D045A"/>
    <w:rsid w:val="000D15B3"/>
    <w:rsid w:val="000E779D"/>
    <w:rsid w:val="000F6C2C"/>
    <w:rsid w:val="00111987"/>
    <w:rsid w:val="00112FDF"/>
    <w:rsid w:val="00121D69"/>
    <w:rsid w:val="0013328A"/>
    <w:rsid w:val="001360F8"/>
    <w:rsid w:val="00143201"/>
    <w:rsid w:val="00156605"/>
    <w:rsid w:val="00156F57"/>
    <w:rsid w:val="00166D20"/>
    <w:rsid w:val="00171CFF"/>
    <w:rsid w:val="001940BD"/>
    <w:rsid w:val="00196A82"/>
    <w:rsid w:val="001B23D7"/>
    <w:rsid w:val="001B3AFB"/>
    <w:rsid w:val="001B6EF8"/>
    <w:rsid w:val="001B7C5F"/>
    <w:rsid w:val="001E0221"/>
    <w:rsid w:val="001E5968"/>
    <w:rsid w:val="0021320D"/>
    <w:rsid w:val="00226165"/>
    <w:rsid w:val="00226BD2"/>
    <w:rsid w:val="00232BA6"/>
    <w:rsid w:val="00262C4E"/>
    <w:rsid w:val="00285578"/>
    <w:rsid w:val="00286598"/>
    <w:rsid w:val="00290046"/>
    <w:rsid w:val="002C3D38"/>
    <w:rsid w:val="002D7247"/>
    <w:rsid w:val="002D73A8"/>
    <w:rsid w:val="002E284B"/>
    <w:rsid w:val="002E2E4C"/>
    <w:rsid w:val="002F0091"/>
    <w:rsid w:val="00320879"/>
    <w:rsid w:val="00321FD6"/>
    <w:rsid w:val="00335315"/>
    <w:rsid w:val="0039583F"/>
    <w:rsid w:val="00396DD6"/>
    <w:rsid w:val="003A6EFD"/>
    <w:rsid w:val="003B02DE"/>
    <w:rsid w:val="003D134E"/>
    <w:rsid w:val="003E7EDA"/>
    <w:rsid w:val="003F7986"/>
    <w:rsid w:val="00413B51"/>
    <w:rsid w:val="00442456"/>
    <w:rsid w:val="004600D1"/>
    <w:rsid w:val="00466E40"/>
    <w:rsid w:val="0047279D"/>
    <w:rsid w:val="004A1AAE"/>
    <w:rsid w:val="004A47E8"/>
    <w:rsid w:val="004B026A"/>
    <w:rsid w:val="004D38AD"/>
    <w:rsid w:val="004D4FA1"/>
    <w:rsid w:val="004D6A01"/>
    <w:rsid w:val="004E09DA"/>
    <w:rsid w:val="004E49B3"/>
    <w:rsid w:val="004F2A3C"/>
    <w:rsid w:val="004F4D2A"/>
    <w:rsid w:val="00504B66"/>
    <w:rsid w:val="0051280F"/>
    <w:rsid w:val="00517A89"/>
    <w:rsid w:val="00525731"/>
    <w:rsid w:val="005426DA"/>
    <w:rsid w:val="00544F53"/>
    <w:rsid w:val="005572C1"/>
    <w:rsid w:val="00567604"/>
    <w:rsid w:val="00580C42"/>
    <w:rsid w:val="0059586F"/>
    <w:rsid w:val="00595DBB"/>
    <w:rsid w:val="005B04BF"/>
    <w:rsid w:val="005C264A"/>
    <w:rsid w:val="005C67A0"/>
    <w:rsid w:val="005C7A71"/>
    <w:rsid w:val="005D0120"/>
    <w:rsid w:val="005D62D6"/>
    <w:rsid w:val="005D7333"/>
    <w:rsid w:val="005D73CC"/>
    <w:rsid w:val="005E63CC"/>
    <w:rsid w:val="005E7935"/>
    <w:rsid w:val="005F190D"/>
    <w:rsid w:val="005F2053"/>
    <w:rsid w:val="00601EC7"/>
    <w:rsid w:val="00605007"/>
    <w:rsid w:val="0061387C"/>
    <w:rsid w:val="00625DF4"/>
    <w:rsid w:val="00632280"/>
    <w:rsid w:val="0063475A"/>
    <w:rsid w:val="00634D74"/>
    <w:rsid w:val="00636F40"/>
    <w:rsid w:val="00640021"/>
    <w:rsid w:val="006462E2"/>
    <w:rsid w:val="00664B02"/>
    <w:rsid w:val="006924CB"/>
    <w:rsid w:val="006A2937"/>
    <w:rsid w:val="006B4968"/>
    <w:rsid w:val="006B7992"/>
    <w:rsid w:val="006D0627"/>
    <w:rsid w:val="006E204B"/>
    <w:rsid w:val="006E50A0"/>
    <w:rsid w:val="006E59F6"/>
    <w:rsid w:val="006E6732"/>
    <w:rsid w:val="00706652"/>
    <w:rsid w:val="00730476"/>
    <w:rsid w:val="007330C0"/>
    <w:rsid w:val="00751C1B"/>
    <w:rsid w:val="0076305B"/>
    <w:rsid w:val="007660CC"/>
    <w:rsid w:val="00772BBE"/>
    <w:rsid w:val="00774C39"/>
    <w:rsid w:val="0077549C"/>
    <w:rsid w:val="007812DE"/>
    <w:rsid w:val="007841AB"/>
    <w:rsid w:val="007849E4"/>
    <w:rsid w:val="007A0D4D"/>
    <w:rsid w:val="007A6B14"/>
    <w:rsid w:val="007B0438"/>
    <w:rsid w:val="007B1F19"/>
    <w:rsid w:val="007B5BD0"/>
    <w:rsid w:val="007B69F2"/>
    <w:rsid w:val="007D472F"/>
    <w:rsid w:val="007D4DDA"/>
    <w:rsid w:val="007D4EF3"/>
    <w:rsid w:val="007E7349"/>
    <w:rsid w:val="008132AE"/>
    <w:rsid w:val="008245A4"/>
    <w:rsid w:val="0082701E"/>
    <w:rsid w:val="0084071D"/>
    <w:rsid w:val="00843012"/>
    <w:rsid w:val="00851354"/>
    <w:rsid w:val="00854108"/>
    <w:rsid w:val="0085710D"/>
    <w:rsid w:val="00870006"/>
    <w:rsid w:val="008718FA"/>
    <w:rsid w:val="00876570"/>
    <w:rsid w:val="0087749F"/>
    <w:rsid w:val="008802AB"/>
    <w:rsid w:val="0089097F"/>
    <w:rsid w:val="008B3224"/>
    <w:rsid w:val="008C1C6D"/>
    <w:rsid w:val="008C5741"/>
    <w:rsid w:val="008C5FDC"/>
    <w:rsid w:val="008D5B28"/>
    <w:rsid w:val="008E38A5"/>
    <w:rsid w:val="00910C88"/>
    <w:rsid w:val="00910E6C"/>
    <w:rsid w:val="009218C1"/>
    <w:rsid w:val="009265D1"/>
    <w:rsid w:val="00933C49"/>
    <w:rsid w:val="009422DC"/>
    <w:rsid w:val="00966A44"/>
    <w:rsid w:val="009921B2"/>
    <w:rsid w:val="009954AD"/>
    <w:rsid w:val="009B7AE4"/>
    <w:rsid w:val="009C75BF"/>
    <w:rsid w:val="009D2C2D"/>
    <w:rsid w:val="009D5236"/>
    <w:rsid w:val="009E5A6D"/>
    <w:rsid w:val="009F40A2"/>
    <w:rsid w:val="00A11FFC"/>
    <w:rsid w:val="00A168E2"/>
    <w:rsid w:val="00A270F8"/>
    <w:rsid w:val="00A310E9"/>
    <w:rsid w:val="00A34F80"/>
    <w:rsid w:val="00A41768"/>
    <w:rsid w:val="00A47B48"/>
    <w:rsid w:val="00A56863"/>
    <w:rsid w:val="00A72A0C"/>
    <w:rsid w:val="00A77AF8"/>
    <w:rsid w:val="00A77B8B"/>
    <w:rsid w:val="00A80FE1"/>
    <w:rsid w:val="00AA2F3A"/>
    <w:rsid w:val="00AA4DF1"/>
    <w:rsid w:val="00AB393B"/>
    <w:rsid w:val="00AC627A"/>
    <w:rsid w:val="00AD01CE"/>
    <w:rsid w:val="00AE5CB6"/>
    <w:rsid w:val="00AE7C77"/>
    <w:rsid w:val="00AE7CB7"/>
    <w:rsid w:val="00AF2F1A"/>
    <w:rsid w:val="00AF42E9"/>
    <w:rsid w:val="00B002CD"/>
    <w:rsid w:val="00B045F9"/>
    <w:rsid w:val="00B07405"/>
    <w:rsid w:val="00B33EA8"/>
    <w:rsid w:val="00B42B7A"/>
    <w:rsid w:val="00B435E2"/>
    <w:rsid w:val="00B443E1"/>
    <w:rsid w:val="00B511CD"/>
    <w:rsid w:val="00B56474"/>
    <w:rsid w:val="00B618FB"/>
    <w:rsid w:val="00B657D9"/>
    <w:rsid w:val="00B74AB8"/>
    <w:rsid w:val="00B830C8"/>
    <w:rsid w:val="00B834E3"/>
    <w:rsid w:val="00B84534"/>
    <w:rsid w:val="00BA0106"/>
    <w:rsid w:val="00BB2456"/>
    <w:rsid w:val="00BB6502"/>
    <w:rsid w:val="00BC243D"/>
    <w:rsid w:val="00BC580D"/>
    <w:rsid w:val="00BC5AF0"/>
    <w:rsid w:val="00BC7AFC"/>
    <w:rsid w:val="00BE27A0"/>
    <w:rsid w:val="00C27C09"/>
    <w:rsid w:val="00C27CD8"/>
    <w:rsid w:val="00C3524D"/>
    <w:rsid w:val="00C40C84"/>
    <w:rsid w:val="00C41766"/>
    <w:rsid w:val="00C4729F"/>
    <w:rsid w:val="00C61F5A"/>
    <w:rsid w:val="00C62C83"/>
    <w:rsid w:val="00C759C7"/>
    <w:rsid w:val="00C7740F"/>
    <w:rsid w:val="00C82589"/>
    <w:rsid w:val="00C8779E"/>
    <w:rsid w:val="00C978BB"/>
    <w:rsid w:val="00CB48E3"/>
    <w:rsid w:val="00CD20C4"/>
    <w:rsid w:val="00CF0267"/>
    <w:rsid w:val="00D03BB2"/>
    <w:rsid w:val="00D21A60"/>
    <w:rsid w:val="00D35C3C"/>
    <w:rsid w:val="00D35FFA"/>
    <w:rsid w:val="00D4765F"/>
    <w:rsid w:val="00D63966"/>
    <w:rsid w:val="00D94C96"/>
    <w:rsid w:val="00DA14D5"/>
    <w:rsid w:val="00DA28DE"/>
    <w:rsid w:val="00DB3B76"/>
    <w:rsid w:val="00DC5AF6"/>
    <w:rsid w:val="00DF5C79"/>
    <w:rsid w:val="00E1527A"/>
    <w:rsid w:val="00E165F2"/>
    <w:rsid w:val="00E4665F"/>
    <w:rsid w:val="00E474CD"/>
    <w:rsid w:val="00E525F2"/>
    <w:rsid w:val="00E54540"/>
    <w:rsid w:val="00E605CF"/>
    <w:rsid w:val="00E606B2"/>
    <w:rsid w:val="00E73C5F"/>
    <w:rsid w:val="00E77BC4"/>
    <w:rsid w:val="00E77C85"/>
    <w:rsid w:val="00E90F70"/>
    <w:rsid w:val="00EA4AE3"/>
    <w:rsid w:val="00EC1F33"/>
    <w:rsid w:val="00EC4411"/>
    <w:rsid w:val="00EC4791"/>
    <w:rsid w:val="00F0690F"/>
    <w:rsid w:val="00F279E2"/>
    <w:rsid w:val="00F33E9D"/>
    <w:rsid w:val="00F37B35"/>
    <w:rsid w:val="00F40852"/>
    <w:rsid w:val="00F43115"/>
    <w:rsid w:val="00F45595"/>
    <w:rsid w:val="00F71F27"/>
    <w:rsid w:val="00F7422F"/>
    <w:rsid w:val="00F811C8"/>
    <w:rsid w:val="00F83D05"/>
    <w:rsid w:val="00F857C6"/>
    <w:rsid w:val="00F90FD5"/>
    <w:rsid w:val="00F920E1"/>
    <w:rsid w:val="00F92E2B"/>
    <w:rsid w:val="00F95BC8"/>
    <w:rsid w:val="00FB74D8"/>
    <w:rsid w:val="00FC0E1D"/>
    <w:rsid w:val="00FC0FC5"/>
    <w:rsid w:val="00FD1903"/>
    <w:rsid w:val="00FE1C05"/>
    <w:rsid w:val="00FF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96B31"/>
  <w15:chartTrackingRefBased/>
  <w15:docId w15:val="{34A2F6DD-96FF-43C2-A623-2BADBBCA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F3"/>
  </w:style>
  <w:style w:type="paragraph" w:styleId="Heading1">
    <w:name w:val="heading 1"/>
    <w:basedOn w:val="Normal"/>
    <w:next w:val="Normal"/>
    <w:link w:val="Heading1Char"/>
    <w:uiPriority w:val="9"/>
    <w:qFormat/>
    <w:rsid w:val="00692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63CC"/>
    <w:pPr>
      <w:keepNext/>
      <w:keepLines/>
      <w:spacing w:before="40" w:after="0" w:line="276" w:lineRule="auto"/>
      <w:outlineLvl w:val="1"/>
    </w:pPr>
    <w:rPr>
      <w:rFonts w:ascii="Candara" w:eastAsiaTheme="majorEastAsia" w:hAnsi="Candara" w:cstheme="majorBidi"/>
      <w:b/>
      <w:color w:val="2F5496" w:themeColor="accent5" w:themeShade="BF"/>
      <w:sz w:val="26"/>
      <w:szCs w:val="26"/>
    </w:rPr>
  </w:style>
  <w:style w:type="paragraph" w:styleId="Heading3">
    <w:name w:val="heading 3"/>
    <w:basedOn w:val="Normal"/>
    <w:next w:val="Normal"/>
    <w:link w:val="Heading3Char"/>
    <w:uiPriority w:val="9"/>
    <w:unhideWhenUsed/>
    <w:qFormat/>
    <w:rsid w:val="0033531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63CC"/>
    <w:rPr>
      <w:rFonts w:ascii="Candara" w:eastAsiaTheme="majorEastAsia" w:hAnsi="Candara" w:cstheme="majorBidi"/>
      <w:b/>
      <w:color w:val="2F5496" w:themeColor="accent5" w:themeShade="BF"/>
      <w:sz w:val="26"/>
      <w:szCs w:val="26"/>
    </w:rPr>
  </w:style>
  <w:style w:type="paragraph" w:styleId="ListParagraph">
    <w:name w:val="List Paragraph"/>
    <w:basedOn w:val="Normal"/>
    <w:uiPriority w:val="34"/>
    <w:qFormat/>
    <w:rsid w:val="007D4EF3"/>
    <w:pPr>
      <w:ind w:left="720"/>
      <w:contextualSpacing/>
    </w:pPr>
  </w:style>
  <w:style w:type="character" w:customStyle="1" w:styleId="Heading3Char">
    <w:name w:val="Heading 3 Char"/>
    <w:basedOn w:val="DefaultParagraphFont"/>
    <w:link w:val="Heading3"/>
    <w:uiPriority w:val="9"/>
    <w:rsid w:val="00335315"/>
    <w:rPr>
      <w:rFonts w:asciiTheme="majorHAnsi" w:eastAsiaTheme="majorEastAsia" w:hAnsiTheme="majorHAnsi" w:cstheme="majorBidi"/>
      <w:color w:val="1F4D78" w:themeColor="accent1" w:themeShade="7F"/>
      <w:szCs w:val="24"/>
    </w:rPr>
  </w:style>
  <w:style w:type="table" w:styleId="TableGrid">
    <w:name w:val="Table Grid"/>
    <w:basedOn w:val="TableNormal"/>
    <w:uiPriority w:val="39"/>
    <w:rsid w:val="0060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6F57"/>
    <w:rPr>
      <w:color w:val="0000FF"/>
      <w:u w:val="single"/>
    </w:rPr>
  </w:style>
  <w:style w:type="paragraph" w:styleId="FootnoteText">
    <w:name w:val="footnote text"/>
    <w:basedOn w:val="Normal"/>
    <w:link w:val="FootnoteTextChar"/>
    <w:uiPriority w:val="99"/>
    <w:unhideWhenUsed/>
    <w:rsid w:val="00156F57"/>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156F57"/>
    <w:rPr>
      <w:rFonts w:ascii="Calibri" w:eastAsia="Calibri" w:hAnsi="Calibri" w:cs="Times New Roman"/>
      <w:sz w:val="20"/>
      <w:szCs w:val="20"/>
      <w:lang w:val="en-US"/>
    </w:rPr>
  </w:style>
  <w:style w:type="character" w:styleId="FootnoteReference">
    <w:name w:val="footnote reference"/>
    <w:uiPriority w:val="99"/>
    <w:semiHidden/>
    <w:unhideWhenUsed/>
    <w:rsid w:val="00156F57"/>
    <w:rPr>
      <w:vertAlign w:val="superscript"/>
    </w:rPr>
  </w:style>
  <w:style w:type="paragraph" w:styleId="BalloonText">
    <w:name w:val="Balloon Text"/>
    <w:basedOn w:val="Normal"/>
    <w:link w:val="BalloonTextChar"/>
    <w:uiPriority w:val="99"/>
    <w:semiHidden/>
    <w:unhideWhenUsed/>
    <w:rsid w:val="0019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A82"/>
    <w:rPr>
      <w:rFonts w:ascii="Segoe UI" w:hAnsi="Segoe UI" w:cs="Segoe UI"/>
      <w:sz w:val="18"/>
      <w:szCs w:val="18"/>
    </w:rPr>
  </w:style>
  <w:style w:type="paragraph" w:styleId="NormalWeb">
    <w:name w:val="Normal (Web)"/>
    <w:basedOn w:val="Normal"/>
    <w:uiPriority w:val="99"/>
    <w:unhideWhenUsed/>
    <w:rsid w:val="005426DA"/>
    <w:pPr>
      <w:spacing w:after="240" w:line="240" w:lineRule="auto"/>
    </w:pPr>
    <w:rPr>
      <w:rFonts w:ascii="inherit" w:eastAsia="Times New Roman" w:hAnsi="inherit" w:cs="Times New Roman"/>
      <w:szCs w:val="24"/>
      <w:lang w:eastAsia="en-GB"/>
    </w:rPr>
  </w:style>
  <w:style w:type="character" w:customStyle="1" w:styleId="Heading1Char">
    <w:name w:val="Heading 1 Char"/>
    <w:basedOn w:val="DefaultParagraphFont"/>
    <w:link w:val="Heading1"/>
    <w:uiPriority w:val="9"/>
    <w:rsid w:val="006924C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24CB"/>
    <w:pPr>
      <w:outlineLvl w:val="9"/>
    </w:pPr>
    <w:rPr>
      <w:lang w:val="en-US"/>
    </w:rPr>
  </w:style>
  <w:style w:type="paragraph" w:styleId="TOC2">
    <w:name w:val="toc 2"/>
    <w:basedOn w:val="Normal"/>
    <w:next w:val="Normal"/>
    <w:autoRedefine/>
    <w:uiPriority w:val="39"/>
    <w:unhideWhenUsed/>
    <w:rsid w:val="006924CB"/>
    <w:pPr>
      <w:spacing w:after="100"/>
      <w:ind w:left="240"/>
    </w:pPr>
  </w:style>
  <w:style w:type="character" w:styleId="CommentReference">
    <w:name w:val="annotation reference"/>
    <w:basedOn w:val="DefaultParagraphFont"/>
    <w:uiPriority w:val="99"/>
    <w:semiHidden/>
    <w:unhideWhenUsed/>
    <w:rsid w:val="00870006"/>
    <w:rPr>
      <w:sz w:val="16"/>
      <w:szCs w:val="16"/>
    </w:rPr>
  </w:style>
  <w:style w:type="paragraph" w:styleId="CommentText">
    <w:name w:val="annotation text"/>
    <w:basedOn w:val="Normal"/>
    <w:link w:val="CommentTextChar"/>
    <w:uiPriority w:val="99"/>
    <w:semiHidden/>
    <w:unhideWhenUsed/>
    <w:rsid w:val="00870006"/>
    <w:pPr>
      <w:spacing w:line="240" w:lineRule="auto"/>
    </w:pPr>
    <w:rPr>
      <w:sz w:val="20"/>
      <w:szCs w:val="20"/>
    </w:rPr>
  </w:style>
  <w:style w:type="character" w:customStyle="1" w:styleId="CommentTextChar">
    <w:name w:val="Comment Text Char"/>
    <w:basedOn w:val="DefaultParagraphFont"/>
    <w:link w:val="CommentText"/>
    <w:uiPriority w:val="99"/>
    <w:semiHidden/>
    <w:rsid w:val="00870006"/>
    <w:rPr>
      <w:sz w:val="20"/>
      <w:szCs w:val="20"/>
    </w:rPr>
  </w:style>
  <w:style w:type="paragraph" w:styleId="CommentSubject">
    <w:name w:val="annotation subject"/>
    <w:basedOn w:val="CommentText"/>
    <w:next w:val="CommentText"/>
    <w:link w:val="CommentSubjectChar"/>
    <w:uiPriority w:val="99"/>
    <w:semiHidden/>
    <w:unhideWhenUsed/>
    <w:rsid w:val="00870006"/>
    <w:rPr>
      <w:b/>
      <w:bCs/>
    </w:rPr>
  </w:style>
  <w:style w:type="character" w:customStyle="1" w:styleId="CommentSubjectChar">
    <w:name w:val="Comment Subject Char"/>
    <w:basedOn w:val="CommentTextChar"/>
    <w:link w:val="CommentSubject"/>
    <w:uiPriority w:val="99"/>
    <w:semiHidden/>
    <w:rsid w:val="00870006"/>
    <w:rPr>
      <w:b/>
      <w:bCs/>
      <w:sz w:val="20"/>
      <w:szCs w:val="20"/>
    </w:rPr>
  </w:style>
  <w:style w:type="character" w:styleId="FollowedHyperlink">
    <w:name w:val="FollowedHyperlink"/>
    <w:basedOn w:val="DefaultParagraphFont"/>
    <w:uiPriority w:val="99"/>
    <w:semiHidden/>
    <w:unhideWhenUsed/>
    <w:rsid w:val="00AE7C77"/>
    <w:rPr>
      <w:color w:val="954F72" w:themeColor="followedHyperlink"/>
      <w:u w:val="single"/>
    </w:rPr>
  </w:style>
  <w:style w:type="paragraph" w:styleId="NoSpacing">
    <w:name w:val="No Spacing"/>
    <w:uiPriority w:val="1"/>
    <w:qFormat/>
    <w:rsid w:val="00A80FE1"/>
    <w:pPr>
      <w:spacing w:after="0" w:line="240" w:lineRule="auto"/>
    </w:pPr>
  </w:style>
  <w:style w:type="paragraph" w:styleId="Header">
    <w:name w:val="header"/>
    <w:basedOn w:val="Normal"/>
    <w:link w:val="HeaderChar"/>
    <w:uiPriority w:val="99"/>
    <w:unhideWhenUsed/>
    <w:rsid w:val="00504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B66"/>
  </w:style>
  <w:style w:type="paragraph" w:styleId="Footer">
    <w:name w:val="footer"/>
    <w:basedOn w:val="Normal"/>
    <w:link w:val="FooterChar"/>
    <w:uiPriority w:val="99"/>
    <w:unhideWhenUsed/>
    <w:rsid w:val="00504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B66"/>
  </w:style>
  <w:style w:type="paragraph" w:styleId="EndnoteText">
    <w:name w:val="endnote text"/>
    <w:basedOn w:val="Normal"/>
    <w:link w:val="EndnoteTextChar"/>
    <w:uiPriority w:val="99"/>
    <w:semiHidden/>
    <w:unhideWhenUsed/>
    <w:rsid w:val="006B4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968"/>
    <w:rPr>
      <w:sz w:val="20"/>
      <w:szCs w:val="20"/>
    </w:rPr>
  </w:style>
  <w:style w:type="character" w:styleId="EndnoteReference">
    <w:name w:val="endnote reference"/>
    <w:basedOn w:val="DefaultParagraphFont"/>
    <w:uiPriority w:val="99"/>
    <w:semiHidden/>
    <w:unhideWhenUsed/>
    <w:rsid w:val="006B4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8" Type="http://schemas.openxmlformats.org/officeDocument/2006/relationships/hyperlink" Target="http://www.nrls.npsa.nhs.uk/resources/patient-safety-topics/human-factors-patient-safety-culture/" TargetMode="External"/><Relationship Id="rId3" Type="http://schemas.openxmlformats.org/officeDocument/2006/relationships/hyperlink" Target="http://www.diabetesliteracy.eu" TargetMode="External"/><Relationship Id="rId7" Type="http://schemas.openxmlformats.org/officeDocument/2006/relationships/hyperlink" Target="http://www.eu-patient.eu" TargetMode="External"/><Relationship Id="rId2" Type="http://schemas.openxmlformats.org/officeDocument/2006/relationships/hyperlink" Target="http://www.irohla.eu/home/" TargetMode="External"/><Relationship Id="rId1" Type="http://schemas.openxmlformats.org/officeDocument/2006/relationships/hyperlink" Target="http://www.eu-patient.eu/globalassets/campaign-patient-empowerment/briefing_paperpatient-empowerment_final_external.pdf" TargetMode="External"/><Relationship Id="rId6" Type="http://schemas.openxmlformats.org/officeDocument/2006/relationships/hyperlink" Target="http://patienteducation.stanford.edu" TargetMode="External"/><Relationship Id="rId5" Type="http://schemas.openxmlformats.org/officeDocument/2006/relationships/hyperlink" Target="http://www.eu-patient.eu/whatwedo/Policy/A-Z-list-of-topics/" TargetMode="External"/><Relationship Id="rId4" Type="http://schemas.openxmlformats.org/officeDocument/2006/relationships/hyperlink" Target="http://ec.europa.eu/DocsRoom/documents/7593?locale=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61"/>
    <w:rsid w:val="001D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7FFE4C8F74F89BA76A5CC540BD0F3">
    <w:name w:val="F667FFE4C8F74F89BA76A5CC540BD0F3"/>
    <w:rsid w:val="001D5461"/>
  </w:style>
  <w:style w:type="paragraph" w:customStyle="1" w:styleId="409785460B644349A44F4F9ABAF2DF56">
    <w:name w:val="409785460B644349A44F4F9ABAF2DF56"/>
    <w:rsid w:val="001D5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ABCE-0D06-4C92-8059-9FA815E7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4931</Words>
  <Characters>28110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dc:creator>
  <cp:keywords/>
  <dc:description/>
  <cp:lastModifiedBy>Laurent</cp:lastModifiedBy>
  <cp:revision>2</cp:revision>
  <cp:lastPrinted>2016-03-30T13:57:00Z</cp:lastPrinted>
  <dcterms:created xsi:type="dcterms:W3CDTF">2016-03-31T14:43:00Z</dcterms:created>
  <dcterms:modified xsi:type="dcterms:W3CDTF">2016-03-31T14:43:00Z</dcterms:modified>
</cp:coreProperties>
</file>