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00C" w:rsidRPr="009E1E53" w:rsidRDefault="007C000C" w:rsidP="00763841">
      <w:pPr>
        <w:spacing w:after="0"/>
        <w:rPr>
          <w:b/>
          <w:sz w:val="24"/>
          <w:szCs w:val="24"/>
        </w:rPr>
      </w:pPr>
    </w:p>
    <w:p w:rsidR="00763841" w:rsidRPr="009E1E53" w:rsidRDefault="00763841" w:rsidP="00763841">
      <w:pPr>
        <w:spacing w:after="0"/>
        <w:rPr>
          <w:sz w:val="24"/>
          <w:szCs w:val="24"/>
        </w:rPr>
      </w:pPr>
    </w:p>
    <w:p w:rsidR="00763841" w:rsidRPr="009E1E53" w:rsidRDefault="00B958EF" w:rsidP="00B804F9">
      <w:pPr>
        <w:spacing w:after="0"/>
        <w:jc w:val="center"/>
        <w:rPr>
          <w:rFonts w:ascii="Candara" w:hAnsi="Candara"/>
          <w:b/>
          <w:color w:val="1F497D" w:themeColor="text2"/>
          <w:sz w:val="36"/>
          <w:szCs w:val="24"/>
        </w:rPr>
      </w:pPr>
      <w:r w:rsidRPr="009E1E53">
        <w:rPr>
          <w:rFonts w:ascii="Candara" w:hAnsi="Candara"/>
          <w:b/>
          <w:color w:val="1F497D" w:themeColor="text2"/>
          <w:sz w:val="36"/>
          <w:szCs w:val="24"/>
        </w:rPr>
        <w:t>Directive on patients’ rights in cross-border healthcare</w:t>
      </w:r>
    </w:p>
    <w:p w:rsidR="00763841" w:rsidRPr="009E1E53" w:rsidRDefault="00763841" w:rsidP="00B804F9">
      <w:pPr>
        <w:spacing w:after="0"/>
        <w:jc w:val="center"/>
        <w:rPr>
          <w:rFonts w:ascii="Candara" w:hAnsi="Candara"/>
          <w:b/>
          <w:color w:val="1F497D" w:themeColor="text2"/>
          <w:sz w:val="36"/>
          <w:szCs w:val="24"/>
        </w:rPr>
      </w:pPr>
      <w:bookmarkStart w:id="0" w:name="_Toc402799717"/>
      <w:r w:rsidRPr="009E1E53">
        <w:rPr>
          <w:rFonts w:ascii="Candara" w:hAnsi="Candara"/>
          <w:b/>
          <w:color w:val="1F497D" w:themeColor="text2"/>
          <w:sz w:val="36"/>
          <w:szCs w:val="24"/>
        </w:rPr>
        <w:t>EPF Position Statement</w:t>
      </w:r>
      <w:bookmarkEnd w:id="0"/>
    </w:p>
    <w:p w:rsidR="00763841" w:rsidRPr="009E1E53" w:rsidRDefault="00162D30" w:rsidP="00B958EF">
      <w:pPr>
        <w:jc w:val="center"/>
        <w:rPr>
          <w:b/>
          <w:sz w:val="28"/>
          <w:szCs w:val="24"/>
        </w:rPr>
      </w:pPr>
      <w:r>
        <w:rPr>
          <w:b/>
          <w:sz w:val="28"/>
          <w:szCs w:val="24"/>
        </w:rPr>
        <w:t>February 2016</w:t>
      </w:r>
    </w:p>
    <w:p w:rsidR="009E1E53" w:rsidRPr="00162D30" w:rsidRDefault="0074402D" w:rsidP="00162D30">
      <w:pPr>
        <w:tabs>
          <w:tab w:val="center" w:pos="4513"/>
          <w:tab w:val="left" w:pos="6371"/>
        </w:tabs>
        <w:jc w:val="center"/>
        <w:rPr>
          <w:b/>
          <w:i/>
          <w:color w:val="C00000"/>
          <w:sz w:val="24"/>
          <w:szCs w:val="24"/>
        </w:rPr>
      </w:pPr>
      <w:r w:rsidRPr="00162D30">
        <w:rPr>
          <w:b/>
          <w:i/>
          <w:sz w:val="24"/>
          <w:szCs w:val="24"/>
        </w:rPr>
        <w:t xml:space="preserve">Draft for </w:t>
      </w:r>
      <w:r w:rsidR="00162D30" w:rsidRPr="00162D30">
        <w:rPr>
          <w:b/>
          <w:i/>
          <w:sz w:val="24"/>
          <w:szCs w:val="24"/>
        </w:rPr>
        <w:t>2</w:t>
      </w:r>
      <w:r w:rsidR="00162D30" w:rsidRPr="00162D30">
        <w:rPr>
          <w:b/>
          <w:i/>
          <w:sz w:val="24"/>
          <w:szCs w:val="24"/>
          <w:vertAlign w:val="superscript"/>
        </w:rPr>
        <w:t>nd</w:t>
      </w:r>
      <w:r w:rsidR="00162D30" w:rsidRPr="00162D30">
        <w:rPr>
          <w:b/>
          <w:i/>
          <w:sz w:val="24"/>
          <w:szCs w:val="24"/>
        </w:rPr>
        <w:t xml:space="preserve"> round of </w:t>
      </w:r>
      <w:r w:rsidRPr="00162D30">
        <w:rPr>
          <w:b/>
          <w:i/>
          <w:sz w:val="24"/>
          <w:szCs w:val="24"/>
        </w:rPr>
        <w:t xml:space="preserve">consultation. </w:t>
      </w:r>
      <w:r w:rsidR="009E1E53" w:rsidRPr="00162D30">
        <w:rPr>
          <w:b/>
          <w:i/>
          <w:sz w:val="24"/>
          <w:szCs w:val="24"/>
        </w:rPr>
        <w:t>Please do not share this draft outside your own organisation</w:t>
      </w:r>
      <w:r w:rsidRPr="00162D30">
        <w:rPr>
          <w:b/>
          <w:i/>
          <w:sz w:val="24"/>
          <w:szCs w:val="24"/>
        </w:rPr>
        <w:t>.</w:t>
      </w:r>
    </w:p>
    <w:p w:rsidR="009E1E53" w:rsidRPr="009E1E53" w:rsidRDefault="009E1E53" w:rsidP="00B958EF">
      <w:pPr>
        <w:jc w:val="center"/>
        <w:rPr>
          <w:b/>
          <w:sz w:val="24"/>
          <w:szCs w:val="24"/>
        </w:rPr>
      </w:pPr>
    </w:p>
    <w:sdt>
      <w:sdtPr>
        <w:rPr>
          <w:rFonts w:asciiTheme="minorHAnsi" w:eastAsiaTheme="minorHAnsi" w:hAnsiTheme="minorHAnsi" w:cstheme="minorBidi"/>
          <w:b/>
          <w:color w:val="auto"/>
          <w:sz w:val="24"/>
          <w:szCs w:val="24"/>
          <w:lang w:val="en-GB"/>
        </w:rPr>
        <w:id w:val="-1525634006"/>
        <w:docPartObj>
          <w:docPartGallery w:val="Table of Contents"/>
          <w:docPartUnique/>
        </w:docPartObj>
      </w:sdtPr>
      <w:sdtEndPr>
        <w:rPr>
          <w:bCs/>
          <w:noProof/>
        </w:rPr>
      </w:sdtEndPr>
      <w:sdtContent>
        <w:p w:rsidR="007C7C21" w:rsidRPr="009E1E53" w:rsidRDefault="007C7C21" w:rsidP="00B958EF">
          <w:pPr>
            <w:pStyle w:val="TOCHeading"/>
            <w:spacing w:after="120"/>
            <w:rPr>
              <w:b/>
              <w:sz w:val="24"/>
              <w:szCs w:val="24"/>
            </w:rPr>
          </w:pPr>
          <w:r w:rsidRPr="009E1E53">
            <w:rPr>
              <w:b/>
              <w:sz w:val="24"/>
              <w:szCs w:val="24"/>
            </w:rPr>
            <w:t>Contents</w:t>
          </w:r>
        </w:p>
        <w:p w:rsidR="00B804F9" w:rsidRDefault="007C7C21" w:rsidP="00B804F9">
          <w:pPr>
            <w:pStyle w:val="TOC1"/>
            <w:tabs>
              <w:tab w:val="left" w:pos="440"/>
              <w:tab w:val="right" w:leader="dot" w:pos="9016"/>
            </w:tabs>
            <w:spacing w:line="240" w:lineRule="auto"/>
            <w:rPr>
              <w:rFonts w:eastAsiaTheme="minorEastAsia"/>
              <w:noProof/>
              <w:lang w:eastAsia="en-GB"/>
            </w:rPr>
          </w:pPr>
          <w:r w:rsidRPr="0074402D">
            <w:rPr>
              <w:szCs w:val="24"/>
            </w:rPr>
            <w:fldChar w:fldCharType="begin"/>
          </w:r>
          <w:r w:rsidRPr="0074402D">
            <w:rPr>
              <w:szCs w:val="24"/>
            </w:rPr>
            <w:instrText xml:space="preserve"> TOC \o "1-3" \h \z \u </w:instrText>
          </w:r>
          <w:r w:rsidRPr="0074402D">
            <w:rPr>
              <w:szCs w:val="24"/>
            </w:rPr>
            <w:fldChar w:fldCharType="separate"/>
          </w:r>
          <w:hyperlink w:anchor="_Toc442730497" w:history="1">
            <w:r w:rsidR="00B804F9" w:rsidRPr="00C7210D">
              <w:rPr>
                <w:rStyle w:val="Hyperlink"/>
                <w:b/>
                <w:noProof/>
              </w:rPr>
              <w:t>1.</w:t>
            </w:r>
            <w:r w:rsidR="00B804F9">
              <w:rPr>
                <w:rFonts w:eastAsiaTheme="minorEastAsia"/>
                <w:noProof/>
                <w:lang w:eastAsia="en-GB"/>
              </w:rPr>
              <w:tab/>
            </w:r>
            <w:r w:rsidR="00B804F9" w:rsidRPr="00C7210D">
              <w:rPr>
                <w:rStyle w:val="Hyperlink"/>
                <w:b/>
                <w:noProof/>
              </w:rPr>
              <w:t>Introduction</w:t>
            </w:r>
            <w:r w:rsidR="00B804F9">
              <w:rPr>
                <w:noProof/>
                <w:webHidden/>
              </w:rPr>
              <w:tab/>
            </w:r>
            <w:r w:rsidR="00B804F9">
              <w:rPr>
                <w:noProof/>
                <w:webHidden/>
              </w:rPr>
              <w:fldChar w:fldCharType="begin"/>
            </w:r>
            <w:r w:rsidR="00B804F9">
              <w:rPr>
                <w:noProof/>
                <w:webHidden/>
              </w:rPr>
              <w:instrText xml:space="preserve"> PAGEREF _Toc442730497 \h </w:instrText>
            </w:r>
            <w:r w:rsidR="00B804F9">
              <w:rPr>
                <w:noProof/>
                <w:webHidden/>
              </w:rPr>
            </w:r>
            <w:r w:rsidR="00B804F9">
              <w:rPr>
                <w:noProof/>
                <w:webHidden/>
              </w:rPr>
              <w:fldChar w:fldCharType="separate"/>
            </w:r>
            <w:r w:rsidR="00B804F9">
              <w:rPr>
                <w:noProof/>
                <w:webHidden/>
              </w:rPr>
              <w:t>2</w:t>
            </w:r>
            <w:r w:rsidR="00B804F9">
              <w:rPr>
                <w:noProof/>
                <w:webHidden/>
              </w:rPr>
              <w:fldChar w:fldCharType="end"/>
            </w:r>
          </w:hyperlink>
        </w:p>
        <w:p w:rsidR="00B804F9" w:rsidRDefault="00B804F9" w:rsidP="00B804F9">
          <w:pPr>
            <w:pStyle w:val="TOC1"/>
            <w:tabs>
              <w:tab w:val="left" w:pos="440"/>
              <w:tab w:val="right" w:leader="dot" w:pos="9016"/>
            </w:tabs>
            <w:spacing w:line="240" w:lineRule="auto"/>
            <w:rPr>
              <w:rFonts w:eastAsiaTheme="minorEastAsia"/>
              <w:noProof/>
              <w:lang w:eastAsia="en-GB"/>
            </w:rPr>
          </w:pPr>
          <w:hyperlink w:anchor="_Toc442730498" w:history="1">
            <w:r w:rsidRPr="00C7210D">
              <w:rPr>
                <w:rStyle w:val="Hyperlink"/>
                <w:b/>
                <w:noProof/>
              </w:rPr>
              <w:t>2.</w:t>
            </w:r>
            <w:r>
              <w:rPr>
                <w:rFonts w:eastAsiaTheme="minorEastAsia"/>
                <w:noProof/>
                <w:lang w:eastAsia="en-GB"/>
              </w:rPr>
              <w:tab/>
            </w:r>
            <w:r w:rsidRPr="00C7210D">
              <w:rPr>
                <w:rStyle w:val="Hyperlink"/>
                <w:b/>
                <w:noProof/>
              </w:rPr>
              <w:t>European Commission’s report – key points</w:t>
            </w:r>
            <w:r>
              <w:rPr>
                <w:noProof/>
                <w:webHidden/>
              </w:rPr>
              <w:tab/>
            </w:r>
            <w:r>
              <w:rPr>
                <w:noProof/>
                <w:webHidden/>
              </w:rPr>
              <w:fldChar w:fldCharType="begin"/>
            </w:r>
            <w:r>
              <w:rPr>
                <w:noProof/>
                <w:webHidden/>
              </w:rPr>
              <w:instrText xml:space="preserve"> PAGEREF _Toc442730498 \h </w:instrText>
            </w:r>
            <w:r>
              <w:rPr>
                <w:noProof/>
                <w:webHidden/>
              </w:rPr>
            </w:r>
            <w:r>
              <w:rPr>
                <w:noProof/>
                <w:webHidden/>
              </w:rPr>
              <w:fldChar w:fldCharType="separate"/>
            </w:r>
            <w:r>
              <w:rPr>
                <w:noProof/>
                <w:webHidden/>
              </w:rPr>
              <w:t>2</w:t>
            </w:r>
            <w:r>
              <w:rPr>
                <w:noProof/>
                <w:webHidden/>
              </w:rPr>
              <w:fldChar w:fldCharType="end"/>
            </w:r>
          </w:hyperlink>
        </w:p>
        <w:p w:rsidR="00B804F9" w:rsidRDefault="00B804F9" w:rsidP="00B804F9">
          <w:pPr>
            <w:pStyle w:val="TOC1"/>
            <w:tabs>
              <w:tab w:val="left" w:pos="440"/>
              <w:tab w:val="right" w:leader="dot" w:pos="9016"/>
            </w:tabs>
            <w:spacing w:line="240" w:lineRule="auto"/>
            <w:rPr>
              <w:rFonts w:eastAsiaTheme="minorEastAsia"/>
              <w:noProof/>
              <w:lang w:eastAsia="en-GB"/>
            </w:rPr>
          </w:pPr>
          <w:hyperlink w:anchor="_Toc442730499" w:history="1">
            <w:r w:rsidRPr="00C7210D">
              <w:rPr>
                <w:rStyle w:val="Hyperlink"/>
                <w:b/>
                <w:noProof/>
              </w:rPr>
              <w:t>3.</w:t>
            </w:r>
            <w:r>
              <w:rPr>
                <w:rFonts w:eastAsiaTheme="minorEastAsia"/>
                <w:noProof/>
                <w:lang w:eastAsia="en-GB"/>
              </w:rPr>
              <w:tab/>
            </w:r>
            <w:r w:rsidRPr="00C7210D">
              <w:rPr>
                <w:rStyle w:val="Hyperlink"/>
                <w:b/>
                <w:noProof/>
              </w:rPr>
              <w:t>Key areas of the directive identified by patients</w:t>
            </w:r>
            <w:r>
              <w:rPr>
                <w:noProof/>
                <w:webHidden/>
              </w:rPr>
              <w:tab/>
            </w:r>
            <w:r>
              <w:rPr>
                <w:noProof/>
                <w:webHidden/>
              </w:rPr>
              <w:fldChar w:fldCharType="begin"/>
            </w:r>
            <w:r>
              <w:rPr>
                <w:noProof/>
                <w:webHidden/>
              </w:rPr>
              <w:instrText xml:space="preserve"> PAGEREF _Toc442730499 \h </w:instrText>
            </w:r>
            <w:r>
              <w:rPr>
                <w:noProof/>
                <w:webHidden/>
              </w:rPr>
            </w:r>
            <w:r>
              <w:rPr>
                <w:noProof/>
                <w:webHidden/>
              </w:rPr>
              <w:fldChar w:fldCharType="separate"/>
            </w:r>
            <w:r>
              <w:rPr>
                <w:noProof/>
                <w:webHidden/>
              </w:rPr>
              <w:t>3</w:t>
            </w:r>
            <w:r>
              <w:rPr>
                <w:noProof/>
                <w:webHidden/>
              </w:rPr>
              <w:fldChar w:fldCharType="end"/>
            </w:r>
          </w:hyperlink>
        </w:p>
        <w:p w:rsidR="00B804F9" w:rsidRDefault="00B804F9" w:rsidP="00B804F9">
          <w:pPr>
            <w:pStyle w:val="TOC1"/>
            <w:tabs>
              <w:tab w:val="left" w:pos="660"/>
              <w:tab w:val="right" w:leader="dot" w:pos="9016"/>
            </w:tabs>
            <w:spacing w:line="240" w:lineRule="auto"/>
            <w:rPr>
              <w:rFonts w:eastAsiaTheme="minorEastAsia"/>
              <w:noProof/>
              <w:lang w:eastAsia="en-GB"/>
            </w:rPr>
          </w:pPr>
          <w:hyperlink w:anchor="_Toc442730500" w:history="1">
            <w:r w:rsidRPr="00C7210D">
              <w:rPr>
                <w:rStyle w:val="Hyperlink"/>
                <w:b/>
                <w:noProof/>
              </w:rPr>
              <w:t>3.1.</w:t>
            </w:r>
            <w:r>
              <w:rPr>
                <w:rFonts w:eastAsiaTheme="minorEastAsia"/>
                <w:noProof/>
                <w:lang w:eastAsia="en-GB"/>
              </w:rPr>
              <w:tab/>
            </w:r>
            <w:r w:rsidRPr="00C7210D">
              <w:rPr>
                <w:rStyle w:val="Hyperlink"/>
                <w:b/>
                <w:noProof/>
              </w:rPr>
              <w:t>Patients’ rights</w:t>
            </w:r>
            <w:r>
              <w:rPr>
                <w:noProof/>
                <w:webHidden/>
              </w:rPr>
              <w:tab/>
            </w:r>
            <w:r>
              <w:rPr>
                <w:noProof/>
                <w:webHidden/>
              </w:rPr>
              <w:fldChar w:fldCharType="begin"/>
            </w:r>
            <w:r>
              <w:rPr>
                <w:noProof/>
                <w:webHidden/>
              </w:rPr>
              <w:instrText xml:space="preserve"> PAGEREF _Toc442730500 \h </w:instrText>
            </w:r>
            <w:r>
              <w:rPr>
                <w:noProof/>
                <w:webHidden/>
              </w:rPr>
            </w:r>
            <w:r>
              <w:rPr>
                <w:noProof/>
                <w:webHidden/>
              </w:rPr>
              <w:fldChar w:fldCharType="separate"/>
            </w:r>
            <w:r>
              <w:rPr>
                <w:noProof/>
                <w:webHidden/>
              </w:rPr>
              <w:t>3</w:t>
            </w:r>
            <w:r>
              <w:rPr>
                <w:noProof/>
                <w:webHidden/>
              </w:rPr>
              <w:fldChar w:fldCharType="end"/>
            </w:r>
          </w:hyperlink>
        </w:p>
        <w:p w:rsidR="00B804F9" w:rsidRDefault="00B804F9" w:rsidP="00B804F9">
          <w:pPr>
            <w:pStyle w:val="TOC1"/>
            <w:tabs>
              <w:tab w:val="left" w:pos="660"/>
              <w:tab w:val="right" w:leader="dot" w:pos="9016"/>
            </w:tabs>
            <w:spacing w:line="240" w:lineRule="auto"/>
            <w:rPr>
              <w:rFonts w:eastAsiaTheme="minorEastAsia"/>
              <w:noProof/>
              <w:lang w:eastAsia="en-GB"/>
            </w:rPr>
          </w:pPr>
          <w:hyperlink w:anchor="_Toc442730501" w:history="1">
            <w:r w:rsidRPr="00C7210D">
              <w:rPr>
                <w:rStyle w:val="Hyperlink"/>
                <w:b/>
                <w:noProof/>
              </w:rPr>
              <w:t>3.2.</w:t>
            </w:r>
            <w:r>
              <w:rPr>
                <w:rFonts w:eastAsiaTheme="minorEastAsia"/>
                <w:noProof/>
                <w:lang w:eastAsia="en-GB"/>
              </w:rPr>
              <w:tab/>
            </w:r>
            <w:r w:rsidRPr="00C7210D">
              <w:rPr>
                <w:rStyle w:val="Hyperlink"/>
                <w:b/>
                <w:noProof/>
              </w:rPr>
              <w:t>Information to patients</w:t>
            </w:r>
            <w:r>
              <w:rPr>
                <w:noProof/>
                <w:webHidden/>
              </w:rPr>
              <w:tab/>
            </w:r>
            <w:r>
              <w:rPr>
                <w:noProof/>
                <w:webHidden/>
              </w:rPr>
              <w:fldChar w:fldCharType="begin"/>
            </w:r>
            <w:r>
              <w:rPr>
                <w:noProof/>
                <w:webHidden/>
              </w:rPr>
              <w:instrText xml:space="preserve"> PAGEREF _Toc442730501 \h </w:instrText>
            </w:r>
            <w:r>
              <w:rPr>
                <w:noProof/>
                <w:webHidden/>
              </w:rPr>
            </w:r>
            <w:r>
              <w:rPr>
                <w:noProof/>
                <w:webHidden/>
              </w:rPr>
              <w:fldChar w:fldCharType="separate"/>
            </w:r>
            <w:r>
              <w:rPr>
                <w:noProof/>
                <w:webHidden/>
              </w:rPr>
              <w:t>4</w:t>
            </w:r>
            <w:r>
              <w:rPr>
                <w:noProof/>
                <w:webHidden/>
              </w:rPr>
              <w:fldChar w:fldCharType="end"/>
            </w:r>
          </w:hyperlink>
        </w:p>
        <w:p w:rsidR="00B804F9" w:rsidRDefault="00B804F9" w:rsidP="00B804F9">
          <w:pPr>
            <w:pStyle w:val="TOC2"/>
            <w:tabs>
              <w:tab w:val="right" w:leader="dot" w:pos="9016"/>
            </w:tabs>
            <w:spacing w:line="240" w:lineRule="auto"/>
            <w:rPr>
              <w:rFonts w:eastAsiaTheme="minorEastAsia"/>
              <w:noProof/>
              <w:lang w:eastAsia="en-GB"/>
            </w:rPr>
          </w:pPr>
          <w:hyperlink w:anchor="_Toc442730502" w:history="1">
            <w:r w:rsidRPr="00C7210D">
              <w:rPr>
                <w:rStyle w:val="Hyperlink"/>
                <w:i/>
                <w:noProof/>
              </w:rPr>
              <w:t>Health inequalities</w:t>
            </w:r>
            <w:r>
              <w:rPr>
                <w:noProof/>
                <w:webHidden/>
              </w:rPr>
              <w:tab/>
            </w:r>
            <w:r>
              <w:rPr>
                <w:noProof/>
                <w:webHidden/>
              </w:rPr>
              <w:fldChar w:fldCharType="begin"/>
            </w:r>
            <w:r>
              <w:rPr>
                <w:noProof/>
                <w:webHidden/>
              </w:rPr>
              <w:instrText xml:space="preserve"> PAGEREF _Toc442730502 \h </w:instrText>
            </w:r>
            <w:r>
              <w:rPr>
                <w:noProof/>
                <w:webHidden/>
              </w:rPr>
            </w:r>
            <w:r>
              <w:rPr>
                <w:noProof/>
                <w:webHidden/>
              </w:rPr>
              <w:fldChar w:fldCharType="separate"/>
            </w:r>
            <w:r>
              <w:rPr>
                <w:noProof/>
                <w:webHidden/>
              </w:rPr>
              <w:t>5</w:t>
            </w:r>
            <w:r>
              <w:rPr>
                <w:noProof/>
                <w:webHidden/>
              </w:rPr>
              <w:fldChar w:fldCharType="end"/>
            </w:r>
          </w:hyperlink>
        </w:p>
        <w:p w:rsidR="00B804F9" w:rsidRDefault="00B804F9" w:rsidP="00B804F9">
          <w:pPr>
            <w:pStyle w:val="TOC2"/>
            <w:tabs>
              <w:tab w:val="right" w:leader="dot" w:pos="9016"/>
            </w:tabs>
            <w:spacing w:line="240" w:lineRule="auto"/>
            <w:rPr>
              <w:rFonts w:eastAsiaTheme="minorEastAsia"/>
              <w:noProof/>
              <w:lang w:eastAsia="en-GB"/>
            </w:rPr>
          </w:pPr>
          <w:hyperlink w:anchor="_Toc442730503" w:history="1">
            <w:r w:rsidRPr="00C7210D">
              <w:rPr>
                <w:rStyle w:val="Hyperlink"/>
                <w:i/>
                <w:noProof/>
              </w:rPr>
              <w:t>The role of the National Contact Points</w:t>
            </w:r>
            <w:r>
              <w:rPr>
                <w:noProof/>
                <w:webHidden/>
              </w:rPr>
              <w:tab/>
            </w:r>
            <w:r>
              <w:rPr>
                <w:noProof/>
                <w:webHidden/>
              </w:rPr>
              <w:fldChar w:fldCharType="begin"/>
            </w:r>
            <w:r>
              <w:rPr>
                <w:noProof/>
                <w:webHidden/>
              </w:rPr>
              <w:instrText xml:space="preserve"> PAGEREF _Toc442730503 \h </w:instrText>
            </w:r>
            <w:r>
              <w:rPr>
                <w:noProof/>
                <w:webHidden/>
              </w:rPr>
            </w:r>
            <w:r>
              <w:rPr>
                <w:noProof/>
                <w:webHidden/>
              </w:rPr>
              <w:fldChar w:fldCharType="separate"/>
            </w:r>
            <w:r>
              <w:rPr>
                <w:noProof/>
                <w:webHidden/>
              </w:rPr>
              <w:t>5</w:t>
            </w:r>
            <w:r>
              <w:rPr>
                <w:noProof/>
                <w:webHidden/>
              </w:rPr>
              <w:fldChar w:fldCharType="end"/>
            </w:r>
          </w:hyperlink>
        </w:p>
        <w:p w:rsidR="00B804F9" w:rsidRDefault="00B804F9" w:rsidP="00B804F9">
          <w:pPr>
            <w:pStyle w:val="TOC1"/>
            <w:tabs>
              <w:tab w:val="left" w:pos="660"/>
              <w:tab w:val="right" w:leader="dot" w:pos="9016"/>
            </w:tabs>
            <w:spacing w:line="240" w:lineRule="auto"/>
            <w:rPr>
              <w:rFonts w:eastAsiaTheme="minorEastAsia"/>
              <w:noProof/>
              <w:lang w:eastAsia="en-GB"/>
            </w:rPr>
          </w:pPr>
          <w:hyperlink w:anchor="_Toc442730504" w:history="1">
            <w:r w:rsidRPr="00C7210D">
              <w:rPr>
                <w:rStyle w:val="Hyperlink"/>
                <w:b/>
                <w:noProof/>
              </w:rPr>
              <w:t>3.3.</w:t>
            </w:r>
            <w:r>
              <w:rPr>
                <w:rFonts w:eastAsiaTheme="minorEastAsia"/>
                <w:noProof/>
                <w:lang w:eastAsia="en-GB"/>
              </w:rPr>
              <w:tab/>
            </w:r>
            <w:r w:rsidRPr="00C7210D">
              <w:rPr>
                <w:rStyle w:val="Hyperlink"/>
                <w:b/>
                <w:noProof/>
              </w:rPr>
              <w:t>Equity of Access</w:t>
            </w:r>
            <w:r>
              <w:rPr>
                <w:noProof/>
                <w:webHidden/>
              </w:rPr>
              <w:tab/>
            </w:r>
            <w:r>
              <w:rPr>
                <w:noProof/>
                <w:webHidden/>
              </w:rPr>
              <w:fldChar w:fldCharType="begin"/>
            </w:r>
            <w:r>
              <w:rPr>
                <w:noProof/>
                <w:webHidden/>
              </w:rPr>
              <w:instrText xml:space="preserve"> PAGEREF _Toc442730504 \h </w:instrText>
            </w:r>
            <w:r>
              <w:rPr>
                <w:noProof/>
                <w:webHidden/>
              </w:rPr>
            </w:r>
            <w:r>
              <w:rPr>
                <w:noProof/>
                <w:webHidden/>
              </w:rPr>
              <w:fldChar w:fldCharType="separate"/>
            </w:r>
            <w:r>
              <w:rPr>
                <w:noProof/>
                <w:webHidden/>
              </w:rPr>
              <w:t>7</w:t>
            </w:r>
            <w:r>
              <w:rPr>
                <w:noProof/>
                <w:webHidden/>
              </w:rPr>
              <w:fldChar w:fldCharType="end"/>
            </w:r>
          </w:hyperlink>
        </w:p>
        <w:p w:rsidR="00B804F9" w:rsidRDefault="00B804F9" w:rsidP="00B804F9">
          <w:pPr>
            <w:pStyle w:val="TOC2"/>
            <w:tabs>
              <w:tab w:val="right" w:leader="dot" w:pos="9016"/>
            </w:tabs>
            <w:spacing w:line="240" w:lineRule="auto"/>
            <w:rPr>
              <w:rFonts w:eastAsiaTheme="minorEastAsia"/>
              <w:noProof/>
              <w:lang w:eastAsia="en-GB"/>
            </w:rPr>
          </w:pPr>
          <w:hyperlink w:anchor="_Toc442730505" w:history="1">
            <w:r w:rsidRPr="00C7210D">
              <w:rPr>
                <w:rStyle w:val="Hyperlink"/>
                <w:i/>
                <w:noProof/>
              </w:rPr>
              <w:t>Prior authorisation</w:t>
            </w:r>
            <w:r>
              <w:rPr>
                <w:noProof/>
                <w:webHidden/>
              </w:rPr>
              <w:tab/>
            </w:r>
            <w:r>
              <w:rPr>
                <w:noProof/>
                <w:webHidden/>
              </w:rPr>
              <w:fldChar w:fldCharType="begin"/>
            </w:r>
            <w:r>
              <w:rPr>
                <w:noProof/>
                <w:webHidden/>
              </w:rPr>
              <w:instrText xml:space="preserve"> PAGEREF _Toc442730505 \h </w:instrText>
            </w:r>
            <w:r>
              <w:rPr>
                <w:noProof/>
                <w:webHidden/>
              </w:rPr>
            </w:r>
            <w:r>
              <w:rPr>
                <w:noProof/>
                <w:webHidden/>
              </w:rPr>
              <w:fldChar w:fldCharType="separate"/>
            </w:r>
            <w:r>
              <w:rPr>
                <w:noProof/>
                <w:webHidden/>
              </w:rPr>
              <w:t>8</w:t>
            </w:r>
            <w:r>
              <w:rPr>
                <w:noProof/>
                <w:webHidden/>
              </w:rPr>
              <w:fldChar w:fldCharType="end"/>
            </w:r>
          </w:hyperlink>
        </w:p>
        <w:p w:rsidR="00B804F9" w:rsidRDefault="00B804F9" w:rsidP="00B804F9">
          <w:pPr>
            <w:pStyle w:val="TOC2"/>
            <w:tabs>
              <w:tab w:val="right" w:leader="dot" w:pos="9016"/>
            </w:tabs>
            <w:spacing w:line="240" w:lineRule="auto"/>
            <w:rPr>
              <w:rFonts w:eastAsiaTheme="minorEastAsia"/>
              <w:noProof/>
              <w:lang w:eastAsia="en-GB"/>
            </w:rPr>
          </w:pPr>
          <w:hyperlink w:anchor="_Toc442730506" w:history="1">
            <w:r w:rsidRPr="00C7210D">
              <w:rPr>
                <w:rStyle w:val="Hyperlink"/>
                <w:i/>
                <w:noProof/>
              </w:rPr>
              <w:t>Upfront payment</w:t>
            </w:r>
            <w:r>
              <w:rPr>
                <w:noProof/>
                <w:webHidden/>
              </w:rPr>
              <w:tab/>
            </w:r>
            <w:r>
              <w:rPr>
                <w:noProof/>
                <w:webHidden/>
              </w:rPr>
              <w:fldChar w:fldCharType="begin"/>
            </w:r>
            <w:r>
              <w:rPr>
                <w:noProof/>
                <w:webHidden/>
              </w:rPr>
              <w:instrText xml:space="preserve"> PAGEREF _Toc442730506 \h </w:instrText>
            </w:r>
            <w:r>
              <w:rPr>
                <w:noProof/>
                <w:webHidden/>
              </w:rPr>
            </w:r>
            <w:r>
              <w:rPr>
                <w:noProof/>
                <w:webHidden/>
              </w:rPr>
              <w:fldChar w:fldCharType="separate"/>
            </w:r>
            <w:r>
              <w:rPr>
                <w:noProof/>
                <w:webHidden/>
              </w:rPr>
              <w:t>9</w:t>
            </w:r>
            <w:r>
              <w:rPr>
                <w:noProof/>
                <w:webHidden/>
              </w:rPr>
              <w:fldChar w:fldCharType="end"/>
            </w:r>
          </w:hyperlink>
        </w:p>
        <w:p w:rsidR="00B804F9" w:rsidRDefault="00B804F9" w:rsidP="00B804F9">
          <w:pPr>
            <w:pStyle w:val="TOC2"/>
            <w:tabs>
              <w:tab w:val="right" w:leader="dot" w:pos="9016"/>
            </w:tabs>
            <w:spacing w:line="240" w:lineRule="auto"/>
            <w:rPr>
              <w:rFonts w:eastAsiaTheme="minorEastAsia"/>
              <w:noProof/>
              <w:lang w:eastAsia="en-GB"/>
            </w:rPr>
          </w:pPr>
          <w:hyperlink w:anchor="_Toc442730507" w:history="1">
            <w:r w:rsidRPr="00C7210D">
              <w:rPr>
                <w:rStyle w:val="Hyperlink"/>
                <w:i/>
                <w:noProof/>
              </w:rPr>
              <w:t>Reimbursement</w:t>
            </w:r>
            <w:r>
              <w:rPr>
                <w:noProof/>
                <w:webHidden/>
              </w:rPr>
              <w:tab/>
            </w:r>
            <w:r>
              <w:rPr>
                <w:noProof/>
                <w:webHidden/>
              </w:rPr>
              <w:fldChar w:fldCharType="begin"/>
            </w:r>
            <w:r>
              <w:rPr>
                <w:noProof/>
                <w:webHidden/>
              </w:rPr>
              <w:instrText xml:space="preserve"> PAGEREF _Toc442730507 \h </w:instrText>
            </w:r>
            <w:r>
              <w:rPr>
                <w:noProof/>
                <w:webHidden/>
              </w:rPr>
            </w:r>
            <w:r>
              <w:rPr>
                <w:noProof/>
                <w:webHidden/>
              </w:rPr>
              <w:fldChar w:fldCharType="separate"/>
            </w:r>
            <w:r>
              <w:rPr>
                <w:noProof/>
                <w:webHidden/>
              </w:rPr>
              <w:t>10</w:t>
            </w:r>
            <w:r>
              <w:rPr>
                <w:noProof/>
                <w:webHidden/>
              </w:rPr>
              <w:fldChar w:fldCharType="end"/>
            </w:r>
          </w:hyperlink>
        </w:p>
        <w:p w:rsidR="00B804F9" w:rsidRDefault="00B804F9" w:rsidP="00B804F9">
          <w:pPr>
            <w:pStyle w:val="TOC2"/>
            <w:tabs>
              <w:tab w:val="right" w:leader="dot" w:pos="9016"/>
            </w:tabs>
            <w:spacing w:line="240" w:lineRule="auto"/>
            <w:rPr>
              <w:rFonts w:eastAsiaTheme="minorEastAsia"/>
              <w:noProof/>
              <w:lang w:eastAsia="en-GB"/>
            </w:rPr>
          </w:pPr>
          <w:hyperlink w:anchor="_Toc442730508" w:history="1">
            <w:r w:rsidRPr="00C7210D">
              <w:rPr>
                <w:rStyle w:val="Hyperlink"/>
                <w:i/>
                <w:noProof/>
              </w:rPr>
              <w:t>Recognition of cross-border prescriptions</w:t>
            </w:r>
            <w:r>
              <w:rPr>
                <w:noProof/>
                <w:webHidden/>
              </w:rPr>
              <w:tab/>
            </w:r>
            <w:r>
              <w:rPr>
                <w:noProof/>
                <w:webHidden/>
              </w:rPr>
              <w:fldChar w:fldCharType="begin"/>
            </w:r>
            <w:r>
              <w:rPr>
                <w:noProof/>
                <w:webHidden/>
              </w:rPr>
              <w:instrText xml:space="preserve"> PAGEREF _Toc442730508 \h </w:instrText>
            </w:r>
            <w:r>
              <w:rPr>
                <w:noProof/>
                <w:webHidden/>
              </w:rPr>
            </w:r>
            <w:r>
              <w:rPr>
                <w:noProof/>
                <w:webHidden/>
              </w:rPr>
              <w:fldChar w:fldCharType="separate"/>
            </w:r>
            <w:r>
              <w:rPr>
                <w:noProof/>
                <w:webHidden/>
              </w:rPr>
              <w:t>11</w:t>
            </w:r>
            <w:r>
              <w:rPr>
                <w:noProof/>
                <w:webHidden/>
              </w:rPr>
              <w:fldChar w:fldCharType="end"/>
            </w:r>
          </w:hyperlink>
        </w:p>
        <w:p w:rsidR="00B804F9" w:rsidRDefault="00B804F9" w:rsidP="00B804F9">
          <w:pPr>
            <w:pStyle w:val="TOC1"/>
            <w:tabs>
              <w:tab w:val="left" w:pos="660"/>
              <w:tab w:val="right" w:leader="dot" w:pos="9016"/>
            </w:tabs>
            <w:spacing w:line="240" w:lineRule="auto"/>
            <w:rPr>
              <w:rFonts w:eastAsiaTheme="minorEastAsia"/>
              <w:noProof/>
              <w:lang w:eastAsia="en-GB"/>
            </w:rPr>
          </w:pPr>
          <w:hyperlink w:anchor="_Toc442730509" w:history="1">
            <w:r w:rsidRPr="00C7210D">
              <w:rPr>
                <w:rStyle w:val="Hyperlink"/>
                <w:b/>
                <w:noProof/>
              </w:rPr>
              <w:t>3.4.</w:t>
            </w:r>
            <w:r>
              <w:rPr>
                <w:rFonts w:eastAsiaTheme="minorEastAsia"/>
                <w:noProof/>
                <w:lang w:eastAsia="en-GB"/>
              </w:rPr>
              <w:tab/>
            </w:r>
            <w:r w:rsidRPr="00C7210D">
              <w:rPr>
                <w:rStyle w:val="Hyperlink"/>
                <w:b/>
                <w:noProof/>
              </w:rPr>
              <w:t>Patients with rare diseases</w:t>
            </w:r>
            <w:r>
              <w:rPr>
                <w:noProof/>
                <w:webHidden/>
              </w:rPr>
              <w:tab/>
            </w:r>
            <w:r>
              <w:rPr>
                <w:noProof/>
                <w:webHidden/>
              </w:rPr>
              <w:fldChar w:fldCharType="begin"/>
            </w:r>
            <w:r>
              <w:rPr>
                <w:noProof/>
                <w:webHidden/>
              </w:rPr>
              <w:instrText xml:space="preserve"> PAGEREF _Toc442730509 \h </w:instrText>
            </w:r>
            <w:r>
              <w:rPr>
                <w:noProof/>
                <w:webHidden/>
              </w:rPr>
            </w:r>
            <w:r>
              <w:rPr>
                <w:noProof/>
                <w:webHidden/>
              </w:rPr>
              <w:fldChar w:fldCharType="separate"/>
            </w:r>
            <w:r>
              <w:rPr>
                <w:noProof/>
                <w:webHidden/>
              </w:rPr>
              <w:t>12</w:t>
            </w:r>
            <w:r>
              <w:rPr>
                <w:noProof/>
                <w:webHidden/>
              </w:rPr>
              <w:fldChar w:fldCharType="end"/>
            </w:r>
          </w:hyperlink>
        </w:p>
        <w:p w:rsidR="00B804F9" w:rsidRDefault="00B804F9" w:rsidP="00B804F9">
          <w:pPr>
            <w:pStyle w:val="TOC1"/>
            <w:tabs>
              <w:tab w:val="left" w:pos="660"/>
              <w:tab w:val="right" w:leader="dot" w:pos="9016"/>
            </w:tabs>
            <w:spacing w:line="240" w:lineRule="auto"/>
            <w:rPr>
              <w:rFonts w:eastAsiaTheme="minorEastAsia"/>
              <w:noProof/>
              <w:lang w:eastAsia="en-GB"/>
            </w:rPr>
          </w:pPr>
          <w:hyperlink w:anchor="_Toc442730510" w:history="1">
            <w:r w:rsidRPr="00C7210D">
              <w:rPr>
                <w:rStyle w:val="Hyperlink"/>
                <w:b/>
                <w:noProof/>
              </w:rPr>
              <w:t>1.1.</w:t>
            </w:r>
            <w:r>
              <w:rPr>
                <w:rFonts w:eastAsiaTheme="minorEastAsia"/>
                <w:noProof/>
                <w:lang w:eastAsia="en-GB"/>
              </w:rPr>
              <w:tab/>
            </w:r>
            <w:r w:rsidRPr="00C7210D">
              <w:rPr>
                <w:rStyle w:val="Hyperlink"/>
                <w:b/>
                <w:noProof/>
              </w:rPr>
              <w:t>Safety and quality of care</w:t>
            </w:r>
            <w:r>
              <w:rPr>
                <w:noProof/>
                <w:webHidden/>
              </w:rPr>
              <w:tab/>
            </w:r>
            <w:r>
              <w:rPr>
                <w:noProof/>
                <w:webHidden/>
              </w:rPr>
              <w:fldChar w:fldCharType="begin"/>
            </w:r>
            <w:r>
              <w:rPr>
                <w:noProof/>
                <w:webHidden/>
              </w:rPr>
              <w:instrText xml:space="preserve"> PAGEREF _Toc442730510 \h </w:instrText>
            </w:r>
            <w:r>
              <w:rPr>
                <w:noProof/>
                <w:webHidden/>
              </w:rPr>
            </w:r>
            <w:r>
              <w:rPr>
                <w:noProof/>
                <w:webHidden/>
              </w:rPr>
              <w:fldChar w:fldCharType="separate"/>
            </w:r>
            <w:r>
              <w:rPr>
                <w:noProof/>
                <w:webHidden/>
              </w:rPr>
              <w:t>13</w:t>
            </w:r>
            <w:r>
              <w:rPr>
                <w:noProof/>
                <w:webHidden/>
              </w:rPr>
              <w:fldChar w:fldCharType="end"/>
            </w:r>
          </w:hyperlink>
        </w:p>
        <w:p w:rsidR="00B804F9" w:rsidRDefault="00B804F9" w:rsidP="00B804F9">
          <w:pPr>
            <w:pStyle w:val="TOC2"/>
            <w:tabs>
              <w:tab w:val="right" w:leader="dot" w:pos="9016"/>
            </w:tabs>
            <w:spacing w:line="240" w:lineRule="auto"/>
            <w:rPr>
              <w:rFonts w:eastAsiaTheme="minorEastAsia"/>
              <w:noProof/>
              <w:lang w:eastAsia="en-GB"/>
            </w:rPr>
          </w:pPr>
          <w:hyperlink w:anchor="_Toc442730511" w:history="1">
            <w:r w:rsidRPr="00C7210D">
              <w:rPr>
                <w:rStyle w:val="Hyperlink"/>
                <w:i/>
                <w:noProof/>
              </w:rPr>
              <w:t>Information on safety and quality</w:t>
            </w:r>
            <w:r>
              <w:rPr>
                <w:noProof/>
                <w:webHidden/>
              </w:rPr>
              <w:tab/>
            </w:r>
            <w:r>
              <w:rPr>
                <w:noProof/>
                <w:webHidden/>
              </w:rPr>
              <w:fldChar w:fldCharType="begin"/>
            </w:r>
            <w:r>
              <w:rPr>
                <w:noProof/>
                <w:webHidden/>
              </w:rPr>
              <w:instrText xml:space="preserve"> PAGEREF _Toc442730511 \h </w:instrText>
            </w:r>
            <w:r>
              <w:rPr>
                <w:noProof/>
                <w:webHidden/>
              </w:rPr>
            </w:r>
            <w:r>
              <w:rPr>
                <w:noProof/>
                <w:webHidden/>
              </w:rPr>
              <w:fldChar w:fldCharType="separate"/>
            </w:r>
            <w:r>
              <w:rPr>
                <w:noProof/>
                <w:webHidden/>
              </w:rPr>
              <w:t>14</w:t>
            </w:r>
            <w:r>
              <w:rPr>
                <w:noProof/>
                <w:webHidden/>
              </w:rPr>
              <w:fldChar w:fldCharType="end"/>
            </w:r>
          </w:hyperlink>
        </w:p>
        <w:p w:rsidR="00B804F9" w:rsidRDefault="00B804F9" w:rsidP="00B804F9">
          <w:pPr>
            <w:pStyle w:val="TOC2"/>
            <w:tabs>
              <w:tab w:val="right" w:leader="dot" w:pos="9016"/>
            </w:tabs>
            <w:spacing w:line="240" w:lineRule="auto"/>
            <w:rPr>
              <w:rFonts w:eastAsiaTheme="minorEastAsia"/>
              <w:noProof/>
              <w:lang w:eastAsia="en-GB"/>
            </w:rPr>
          </w:pPr>
          <w:hyperlink w:anchor="_Toc442730512" w:history="1">
            <w:r w:rsidRPr="00C7210D">
              <w:rPr>
                <w:rStyle w:val="Hyperlink"/>
                <w:i/>
                <w:noProof/>
              </w:rPr>
              <w:t>In case something goes wrong</w:t>
            </w:r>
            <w:r>
              <w:rPr>
                <w:noProof/>
                <w:webHidden/>
              </w:rPr>
              <w:tab/>
            </w:r>
            <w:r>
              <w:rPr>
                <w:noProof/>
                <w:webHidden/>
              </w:rPr>
              <w:fldChar w:fldCharType="begin"/>
            </w:r>
            <w:r>
              <w:rPr>
                <w:noProof/>
                <w:webHidden/>
              </w:rPr>
              <w:instrText xml:space="preserve"> PAGEREF _Toc442730512 \h </w:instrText>
            </w:r>
            <w:r>
              <w:rPr>
                <w:noProof/>
                <w:webHidden/>
              </w:rPr>
            </w:r>
            <w:r>
              <w:rPr>
                <w:noProof/>
                <w:webHidden/>
              </w:rPr>
              <w:fldChar w:fldCharType="separate"/>
            </w:r>
            <w:r>
              <w:rPr>
                <w:noProof/>
                <w:webHidden/>
              </w:rPr>
              <w:t>14</w:t>
            </w:r>
            <w:r>
              <w:rPr>
                <w:noProof/>
                <w:webHidden/>
              </w:rPr>
              <w:fldChar w:fldCharType="end"/>
            </w:r>
          </w:hyperlink>
        </w:p>
        <w:p w:rsidR="00B804F9" w:rsidRDefault="00B804F9" w:rsidP="00B804F9">
          <w:pPr>
            <w:pStyle w:val="TOC1"/>
            <w:tabs>
              <w:tab w:val="left" w:pos="660"/>
              <w:tab w:val="right" w:leader="dot" w:pos="9016"/>
            </w:tabs>
            <w:spacing w:line="240" w:lineRule="auto"/>
            <w:rPr>
              <w:rFonts w:eastAsiaTheme="minorEastAsia"/>
              <w:noProof/>
              <w:lang w:eastAsia="en-GB"/>
            </w:rPr>
          </w:pPr>
          <w:hyperlink w:anchor="_Toc442730513" w:history="1">
            <w:r w:rsidRPr="00C7210D">
              <w:rPr>
                <w:rStyle w:val="Hyperlink"/>
                <w:b/>
                <w:noProof/>
              </w:rPr>
              <w:t>1.2.</w:t>
            </w:r>
            <w:r>
              <w:rPr>
                <w:rFonts w:eastAsiaTheme="minorEastAsia"/>
                <w:noProof/>
                <w:lang w:eastAsia="en-GB"/>
              </w:rPr>
              <w:tab/>
            </w:r>
            <w:r w:rsidRPr="00C7210D">
              <w:rPr>
                <w:rStyle w:val="Hyperlink"/>
                <w:b/>
                <w:noProof/>
              </w:rPr>
              <w:t>European collaboration</w:t>
            </w:r>
            <w:r>
              <w:rPr>
                <w:noProof/>
                <w:webHidden/>
              </w:rPr>
              <w:tab/>
            </w:r>
            <w:r>
              <w:rPr>
                <w:noProof/>
                <w:webHidden/>
              </w:rPr>
              <w:fldChar w:fldCharType="begin"/>
            </w:r>
            <w:r>
              <w:rPr>
                <w:noProof/>
                <w:webHidden/>
              </w:rPr>
              <w:instrText xml:space="preserve"> PAGEREF _Toc442730513 \h </w:instrText>
            </w:r>
            <w:r>
              <w:rPr>
                <w:noProof/>
                <w:webHidden/>
              </w:rPr>
            </w:r>
            <w:r>
              <w:rPr>
                <w:noProof/>
                <w:webHidden/>
              </w:rPr>
              <w:fldChar w:fldCharType="separate"/>
            </w:r>
            <w:r>
              <w:rPr>
                <w:noProof/>
                <w:webHidden/>
              </w:rPr>
              <w:t>15</w:t>
            </w:r>
            <w:r>
              <w:rPr>
                <w:noProof/>
                <w:webHidden/>
              </w:rPr>
              <w:fldChar w:fldCharType="end"/>
            </w:r>
          </w:hyperlink>
        </w:p>
        <w:p w:rsidR="00B804F9" w:rsidRDefault="00B804F9" w:rsidP="00B804F9">
          <w:pPr>
            <w:pStyle w:val="TOC2"/>
            <w:tabs>
              <w:tab w:val="right" w:leader="dot" w:pos="9016"/>
            </w:tabs>
            <w:spacing w:line="240" w:lineRule="auto"/>
            <w:rPr>
              <w:rFonts w:eastAsiaTheme="minorEastAsia"/>
              <w:noProof/>
              <w:lang w:eastAsia="en-GB"/>
            </w:rPr>
          </w:pPr>
          <w:hyperlink w:anchor="_Toc442730514" w:history="1">
            <w:r w:rsidRPr="00C7210D">
              <w:rPr>
                <w:rStyle w:val="Hyperlink"/>
                <w:i/>
                <w:noProof/>
              </w:rPr>
              <w:t>European Reference Networks</w:t>
            </w:r>
            <w:r>
              <w:rPr>
                <w:noProof/>
                <w:webHidden/>
              </w:rPr>
              <w:tab/>
            </w:r>
            <w:r>
              <w:rPr>
                <w:noProof/>
                <w:webHidden/>
              </w:rPr>
              <w:fldChar w:fldCharType="begin"/>
            </w:r>
            <w:r>
              <w:rPr>
                <w:noProof/>
                <w:webHidden/>
              </w:rPr>
              <w:instrText xml:space="preserve"> PAGEREF _Toc442730514 \h </w:instrText>
            </w:r>
            <w:r>
              <w:rPr>
                <w:noProof/>
                <w:webHidden/>
              </w:rPr>
            </w:r>
            <w:r>
              <w:rPr>
                <w:noProof/>
                <w:webHidden/>
              </w:rPr>
              <w:fldChar w:fldCharType="separate"/>
            </w:r>
            <w:r>
              <w:rPr>
                <w:noProof/>
                <w:webHidden/>
              </w:rPr>
              <w:t>15</w:t>
            </w:r>
            <w:r>
              <w:rPr>
                <w:noProof/>
                <w:webHidden/>
              </w:rPr>
              <w:fldChar w:fldCharType="end"/>
            </w:r>
          </w:hyperlink>
        </w:p>
        <w:p w:rsidR="00B804F9" w:rsidRDefault="00B804F9" w:rsidP="00B804F9">
          <w:pPr>
            <w:pStyle w:val="TOC2"/>
            <w:tabs>
              <w:tab w:val="right" w:leader="dot" w:pos="9016"/>
            </w:tabs>
            <w:spacing w:line="240" w:lineRule="auto"/>
            <w:rPr>
              <w:rFonts w:eastAsiaTheme="minorEastAsia"/>
              <w:noProof/>
              <w:lang w:eastAsia="en-GB"/>
            </w:rPr>
          </w:pPr>
          <w:hyperlink w:anchor="_Toc442730515" w:history="1">
            <w:r w:rsidRPr="00C7210D">
              <w:rPr>
                <w:rStyle w:val="Hyperlink"/>
                <w:i/>
                <w:noProof/>
              </w:rPr>
              <w:t>The eHealth Network</w:t>
            </w:r>
            <w:r>
              <w:rPr>
                <w:noProof/>
                <w:webHidden/>
              </w:rPr>
              <w:tab/>
            </w:r>
            <w:r>
              <w:rPr>
                <w:noProof/>
                <w:webHidden/>
              </w:rPr>
              <w:fldChar w:fldCharType="begin"/>
            </w:r>
            <w:r>
              <w:rPr>
                <w:noProof/>
                <w:webHidden/>
              </w:rPr>
              <w:instrText xml:space="preserve"> PAGEREF _Toc442730515 \h </w:instrText>
            </w:r>
            <w:r>
              <w:rPr>
                <w:noProof/>
                <w:webHidden/>
              </w:rPr>
            </w:r>
            <w:r>
              <w:rPr>
                <w:noProof/>
                <w:webHidden/>
              </w:rPr>
              <w:fldChar w:fldCharType="separate"/>
            </w:r>
            <w:r>
              <w:rPr>
                <w:noProof/>
                <w:webHidden/>
              </w:rPr>
              <w:t>16</w:t>
            </w:r>
            <w:r>
              <w:rPr>
                <w:noProof/>
                <w:webHidden/>
              </w:rPr>
              <w:fldChar w:fldCharType="end"/>
            </w:r>
          </w:hyperlink>
        </w:p>
        <w:p w:rsidR="00B804F9" w:rsidRDefault="00B804F9" w:rsidP="00B804F9">
          <w:pPr>
            <w:pStyle w:val="TOC2"/>
            <w:tabs>
              <w:tab w:val="right" w:leader="dot" w:pos="9016"/>
            </w:tabs>
            <w:spacing w:line="240" w:lineRule="auto"/>
            <w:rPr>
              <w:rFonts w:eastAsiaTheme="minorEastAsia"/>
              <w:noProof/>
              <w:lang w:eastAsia="en-GB"/>
            </w:rPr>
          </w:pPr>
          <w:hyperlink w:anchor="_Toc442730516" w:history="1">
            <w:r w:rsidRPr="00C7210D">
              <w:rPr>
                <w:rStyle w:val="Hyperlink"/>
                <w:i/>
                <w:noProof/>
              </w:rPr>
              <w:t>Health Technology Assessment</w:t>
            </w:r>
            <w:r>
              <w:rPr>
                <w:noProof/>
                <w:webHidden/>
              </w:rPr>
              <w:tab/>
            </w:r>
            <w:r>
              <w:rPr>
                <w:noProof/>
                <w:webHidden/>
              </w:rPr>
              <w:fldChar w:fldCharType="begin"/>
            </w:r>
            <w:r>
              <w:rPr>
                <w:noProof/>
                <w:webHidden/>
              </w:rPr>
              <w:instrText xml:space="preserve"> PAGEREF _Toc442730516 \h </w:instrText>
            </w:r>
            <w:r>
              <w:rPr>
                <w:noProof/>
                <w:webHidden/>
              </w:rPr>
            </w:r>
            <w:r>
              <w:rPr>
                <w:noProof/>
                <w:webHidden/>
              </w:rPr>
              <w:fldChar w:fldCharType="separate"/>
            </w:r>
            <w:r>
              <w:rPr>
                <w:noProof/>
                <w:webHidden/>
              </w:rPr>
              <w:t>17</w:t>
            </w:r>
            <w:r>
              <w:rPr>
                <w:noProof/>
                <w:webHidden/>
              </w:rPr>
              <w:fldChar w:fldCharType="end"/>
            </w:r>
          </w:hyperlink>
        </w:p>
        <w:p w:rsidR="00B804F9" w:rsidRDefault="00B804F9" w:rsidP="00B804F9">
          <w:pPr>
            <w:pStyle w:val="TOC1"/>
            <w:tabs>
              <w:tab w:val="left" w:pos="440"/>
              <w:tab w:val="right" w:leader="dot" w:pos="9016"/>
            </w:tabs>
            <w:spacing w:line="240" w:lineRule="auto"/>
            <w:rPr>
              <w:rFonts w:eastAsiaTheme="minorEastAsia"/>
              <w:noProof/>
              <w:lang w:eastAsia="en-GB"/>
            </w:rPr>
          </w:pPr>
          <w:hyperlink w:anchor="_Toc442730517" w:history="1">
            <w:r w:rsidRPr="00C7210D">
              <w:rPr>
                <w:rStyle w:val="Hyperlink"/>
                <w:b/>
                <w:noProof/>
              </w:rPr>
              <w:t>2.</w:t>
            </w:r>
            <w:r>
              <w:rPr>
                <w:rFonts w:eastAsiaTheme="minorEastAsia"/>
                <w:noProof/>
                <w:lang w:eastAsia="en-GB"/>
              </w:rPr>
              <w:tab/>
            </w:r>
            <w:r w:rsidRPr="00C7210D">
              <w:rPr>
                <w:rStyle w:val="Hyperlink"/>
                <w:b/>
                <w:noProof/>
              </w:rPr>
              <w:t>The role of patient organisations</w:t>
            </w:r>
            <w:r>
              <w:rPr>
                <w:noProof/>
                <w:webHidden/>
              </w:rPr>
              <w:tab/>
            </w:r>
            <w:r>
              <w:rPr>
                <w:noProof/>
                <w:webHidden/>
              </w:rPr>
              <w:fldChar w:fldCharType="begin"/>
            </w:r>
            <w:r>
              <w:rPr>
                <w:noProof/>
                <w:webHidden/>
              </w:rPr>
              <w:instrText xml:space="preserve"> PAGEREF _Toc442730517 \h </w:instrText>
            </w:r>
            <w:r>
              <w:rPr>
                <w:noProof/>
                <w:webHidden/>
              </w:rPr>
            </w:r>
            <w:r>
              <w:rPr>
                <w:noProof/>
                <w:webHidden/>
              </w:rPr>
              <w:fldChar w:fldCharType="separate"/>
            </w:r>
            <w:r>
              <w:rPr>
                <w:noProof/>
                <w:webHidden/>
              </w:rPr>
              <w:t>17</w:t>
            </w:r>
            <w:r>
              <w:rPr>
                <w:noProof/>
                <w:webHidden/>
              </w:rPr>
              <w:fldChar w:fldCharType="end"/>
            </w:r>
          </w:hyperlink>
        </w:p>
        <w:p w:rsidR="00B804F9" w:rsidRDefault="00B804F9" w:rsidP="00B804F9">
          <w:pPr>
            <w:pStyle w:val="TOC1"/>
            <w:tabs>
              <w:tab w:val="left" w:pos="440"/>
              <w:tab w:val="right" w:leader="dot" w:pos="9016"/>
            </w:tabs>
            <w:spacing w:line="240" w:lineRule="auto"/>
            <w:rPr>
              <w:rFonts w:eastAsiaTheme="minorEastAsia"/>
              <w:noProof/>
              <w:lang w:eastAsia="en-GB"/>
            </w:rPr>
          </w:pPr>
          <w:hyperlink w:anchor="_Toc442730518" w:history="1">
            <w:r w:rsidRPr="00C7210D">
              <w:rPr>
                <w:rStyle w:val="Hyperlink"/>
                <w:b/>
                <w:noProof/>
              </w:rPr>
              <w:t>3.</w:t>
            </w:r>
            <w:r>
              <w:rPr>
                <w:rFonts w:eastAsiaTheme="minorEastAsia"/>
                <w:noProof/>
                <w:lang w:eastAsia="en-GB"/>
              </w:rPr>
              <w:tab/>
            </w:r>
            <w:r w:rsidRPr="00C7210D">
              <w:rPr>
                <w:rStyle w:val="Hyperlink"/>
                <w:b/>
                <w:noProof/>
              </w:rPr>
              <w:t>Conclusions and next steps</w:t>
            </w:r>
            <w:r>
              <w:rPr>
                <w:noProof/>
                <w:webHidden/>
              </w:rPr>
              <w:tab/>
            </w:r>
            <w:r>
              <w:rPr>
                <w:noProof/>
                <w:webHidden/>
              </w:rPr>
              <w:fldChar w:fldCharType="begin"/>
            </w:r>
            <w:r>
              <w:rPr>
                <w:noProof/>
                <w:webHidden/>
              </w:rPr>
              <w:instrText xml:space="preserve"> PAGEREF _Toc442730518 \h </w:instrText>
            </w:r>
            <w:r>
              <w:rPr>
                <w:noProof/>
                <w:webHidden/>
              </w:rPr>
            </w:r>
            <w:r>
              <w:rPr>
                <w:noProof/>
                <w:webHidden/>
              </w:rPr>
              <w:fldChar w:fldCharType="separate"/>
            </w:r>
            <w:r>
              <w:rPr>
                <w:noProof/>
                <w:webHidden/>
              </w:rPr>
              <w:t>19</w:t>
            </w:r>
            <w:r>
              <w:rPr>
                <w:noProof/>
                <w:webHidden/>
              </w:rPr>
              <w:fldChar w:fldCharType="end"/>
            </w:r>
          </w:hyperlink>
        </w:p>
        <w:p w:rsidR="00B804F9" w:rsidRDefault="00B804F9">
          <w:pPr>
            <w:pStyle w:val="TOC1"/>
            <w:tabs>
              <w:tab w:val="left" w:pos="440"/>
              <w:tab w:val="right" w:leader="dot" w:pos="9016"/>
            </w:tabs>
            <w:rPr>
              <w:rFonts w:eastAsiaTheme="minorEastAsia"/>
              <w:noProof/>
              <w:lang w:eastAsia="en-GB"/>
            </w:rPr>
          </w:pPr>
          <w:hyperlink w:anchor="_Toc442730519" w:history="1">
            <w:r w:rsidRPr="00C7210D">
              <w:rPr>
                <w:rStyle w:val="Hyperlink"/>
                <w:b/>
                <w:noProof/>
              </w:rPr>
              <w:t>4.</w:t>
            </w:r>
            <w:r>
              <w:rPr>
                <w:rFonts w:eastAsiaTheme="minorEastAsia"/>
                <w:noProof/>
                <w:lang w:eastAsia="en-GB"/>
              </w:rPr>
              <w:tab/>
            </w:r>
            <w:r w:rsidRPr="00C7210D">
              <w:rPr>
                <w:rStyle w:val="Hyperlink"/>
                <w:b/>
                <w:noProof/>
              </w:rPr>
              <w:t>References and links to more information</w:t>
            </w:r>
            <w:r>
              <w:rPr>
                <w:noProof/>
                <w:webHidden/>
              </w:rPr>
              <w:tab/>
            </w:r>
            <w:r>
              <w:rPr>
                <w:noProof/>
                <w:webHidden/>
              </w:rPr>
              <w:fldChar w:fldCharType="begin"/>
            </w:r>
            <w:r>
              <w:rPr>
                <w:noProof/>
                <w:webHidden/>
              </w:rPr>
              <w:instrText xml:space="preserve"> PAGEREF _Toc442730519 \h </w:instrText>
            </w:r>
            <w:r>
              <w:rPr>
                <w:noProof/>
                <w:webHidden/>
              </w:rPr>
            </w:r>
            <w:r>
              <w:rPr>
                <w:noProof/>
                <w:webHidden/>
              </w:rPr>
              <w:fldChar w:fldCharType="separate"/>
            </w:r>
            <w:r>
              <w:rPr>
                <w:noProof/>
                <w:webHidden/>
              </w:rPr>
              <w:t>20</w:t>
            </w:r>
            <w:r>
              <w:rPr>
                <w:noProof/>
                <w:webHidden/>
              </w:rPr>
              <w:fldChar w:fldCharType="end"/>
            </w:r>
          </w:hyperlink>
        </w:p>
        <w:p w:rsidR="007C7C21" w:rsidRPr="009E1E53" w:rsidRDefault="007C7C21">
          <w:pPr>
            <w:rPr>
              <w:sz w:val="24"/>
              <w:szCs w:val="24"/>
            </w:rPr>
          </w:pPr>
          <w:r w:rsidRPr="0074402D">
            <w:rPr>
              <w:b/>
              <w:bCs/>
              <w:noProof/>
              <w:szCs w:val="24"/>
            </w:rPr>
            <w:fldChar w:fldCharType="end"/>
          </w:r>
        </w:p>
      </w:sdtContent>
    </w:sdt>
    <w:p w:rsidR="00763841" w:rsidRPr="009E1E53" w:rsidRDefault="00763841" w:rsidP="00120B19">
      <w:pPr>
        <w:pStyle w:val="Heading1"/>
        <w:numPr>
          <w:ilvl w:val="0"/>
          <w:numId w:val="1"/>
        </w:numPr>
        <w:spacing w:before="0" w:after="240" w:line="240" w:lineRule="auto"/>
        <w:ind w:left="709" w:hanging="567"/>
        <w:rPr>
          <w:b/>
          <w:szCs w:val="24"/>
        </w:rPr>
      </w:pPr>
      <w:bookmarkStart w:id="1" w:name="_Toc442730497"/>
      <w:r w:rsidRPr="009E1E53">
        <w:rPr>
          <w:b/>
          <w:szCs w:val="24"/>
        </w:rPr>
        <w:lastRenderedPageBreak/>
        <w:t>Introduction</w:t>
      </w:r>
      <w:bookmarkEnd w:id="1"/>
    </w:p>
    <w:p w:rsidR="003D4F3B" w:rsidRPr="009E1E53" w:rsidRDefault="003D4F3B" w:rsidP="003D4F3B">
      <w:pPr>
        <w:spacing w:after="120"/>
        <w:jc w:val="both"/>
        <w:rPr>
          <w:sz w:val="24"/>
          <w:szCs w:val="24"/>
        </w:rPr>
      </w:pPr>
      <w:r w:rsidRPr="009E1E53">
        <w:rPr>
          <w:sz w:val="24"/>
          <w:szCs w:val="24"/>
        </w:rPr>
        <w:t xml:space="preserve">The organisation, management, financing and delivery of healthcare are the responsibility of the EU </w:t>
      </w:r>
      <w:r w:rsidR="00FD3C5D">
        <w:rPr>
          <w:sz w:val="24"/>
          <w:szCs w:val="24"/>
        </w:rPr>
        <w:t>Member State</w:t>
      </w:r>
      <w:r w:rsidRPr="009E1E53">
        <w:rPr>
          <w:sz w:val="24"/>
          <w:szCs w:val="24"/>
        </w:rPr>
        <w:t xml:space="preserve">s (Art. 168 TFEU). However, several judgments of the European Court of Justice confirm that patients have in certain cases the right to access healthcare products and services in other </w:t>
      </w:r>
      <w:r w:rsidR="00FD3C5D">
        <w:rPr>
          <w:sz w:val="24"/>
          <w:szCs w:val="24"/>
        </w:rPr>
        <w:t>Member State</w:t>
      </w:r>
      <w:r w:rsidRPr="009E1E53">
        <w:rPr>
          <w:sz w:val="24"/>
          <w:szCs w:val="24"/>
        </w:rPr>
        <w:t xml:space="preserve">s than their own, with the cost being borne by their own health system. To clarify the situation, the European </w:t>
      </w:r>
      <w:r w:rsidR="00FD3C5D">
        <w:rPr>
          <w:sz w:val="24"/>
          <w:szCs w:val="24"/>
        </w:rPr>
        <w:t>Commission</w:t>
      </w:r>
      <w:r w:rsidRPr="009E1E53">
        <w:rPr>
          <w:sz w:val="24"/>
          <w:szCs w:val="24"/>
        </w:rPr>
        <w:t xml:space="preserve"> in 2008 published a proposal for a directive on the application of patients’ rights in cross-border healthcare. Directive 2011/24/EU finally entered into application on 25 of October 2013. </w:t>
      </w:r>
    </w:p>
    <w:p w:rsidR="003D4F3B" w:rsidRPr="009E1E53" w:rsidRDefault="003D4F3B" w:rsidP="003D4F3B">
      <w:pPr>
        <w:spacing w:after="120"/>
        <w:jc w:val="both"/>
        <w:rPr>
          <w:sz w:val="24"/>
          <w:szCs w:val="24"/>
        </w:rPr>
      </w:pPr>
      <w:r w:rsidRPr="009E1E53">
        <w:rPr>
          <w:sz w:val="24"/>
          <w:szCs w:val="24"/>
        </w:rPr>
        <w:t xml:space="preserve">EPF engaged intensely with the draft legislation during the long legislative process. We believe believes the Directive has potential to reduce inequalities for patients in access and the quality of healthcare, but several important areas of gaps and uncertainties remain. Certain aspects of the Directive can be built upon for long-term improvements, such as stronger European cooperation on safety and quality, health technology assessment, eHealth, and European Reference Networks. </w:t>
      </w:r>
    </w:p>
    <w:p w:rsidR="00763841" w:rsidRPr="009E1E53" w:rsidRDefault="003D4F3B" w:rsidP="003D4F3B">
      <w:pPr>
        <w:spacing w:after="120"/>
        <w:jc w:val="both"/>
        <w:rPr>
          <w:sz w:val="24"/>
          <w:szCs w:val="24"/>
        </w:rPr>
      </w:pPr>
      <w:r w:rsidRPr="009E1E53">
        <w:rPr>
          <w:sz w:val="24"/>
          <w:szCs w:val="24"/>
        </w:rPr>
        <w:t>EPF has undertaken extensive awareness-raising in patient communities across the EU; we published a toolkit with guidance to patient organisations and recommendations for implementation in 2012.</w:t>
      </w:r>
      <w:r w:rsidR="00E148B6" w:rsidRPr="009E1E53">
        <w:rPr>
          <w:rStyle w:val="FootnoteReference"/>
          <w:sz w:val="24"/>
          <w:szCs w:val="24"/>
        </w:rPr>
        <w:footnoteReference w:id="1"/>
      </w:r>
      <w:r w:rsidRPr="009E1E53">
        <w:rPr>
          <w:sz w:val="24"/>
          <w:szCs w:val="24"/>
        </w:rPr>
        <w:t xml:space="preserve"> In 2013-15 we implemented a series of regional and national meetings covering all EU </w:t>
      </w:r>
      <w:r w:rsidR="00FD3C5D">
        <w:rPr>
          <w:sz w:val="24"/>
          <w:szCs w:val="24"/>
        </w:rPr>
        <w:t>Member State</w:t>
      </w:r>
      <w:r w:rsidRPr="009E1E53">
        <w:rPr>
          <w:sz w:val="24"/>
          <w:szCs w:val="24"/>
        </w:rPr>
        <w:t>s, with the aim to support patient organisations’ involvement at national level.</w:t>
      </w:r>
      <w:r w:rsidR="00E148B6" w:rsidRPr="009E1E53">
        <w:rPr>
          <w:rStyle w:val="FootnoteReference"/>
          <w:sz w:val="24"/>
          <w:szCs w:val="24"/>
        </w:rPr>
        <w:footnoteReference w:id="2"/>
      </w:r>
      <w:r w:rsidRPr="009E1E53">
        <w:rPr>
          <w:sz w:val="24"/>
          <w:szCs w:val="24"/>
        </w:rPr>
        <w:t xml:space="preserve"> </w:t>
      </w:r>
    </w:p>
    <w:p w:rsidR="00666E31" w:rsidRPr="009E1E53" w:rsidRDefault="00666E31" w:rsidP="00B958EF">
      <w:pPr>
        <w:spacing w:after="120"/>
        <w:jc w:val="both"/>
        <w:rPr>
          <w:sz w:val="24"/>
          <w:szCs w:val="24"/>
        </w:rPr>
      </w:pPr>
    </w:p>
    <w:p w:rsidR="00170601" w:rsidRDefault="00170601" w:rsidP="00120B19">
      <w:pPr>
        <w:pStyle w:val="Heading1"/>
        <w:numPr>
          <w:ilvl w:val="0"/>
          <w:numId w:val="1"/>
        </w:numPr>
        <w:spacing w:before="0" w:after="240" w:line="240" w:lineRule="auto"/>
        <w:ind w:left="709" w:hanging="567"/>
        <w:rPr>
          <w:b/>
          <w:szCs w:val="24"/>
        </w:rPr>
      </w:pPr>
      <w:bookmarkStart w:id="2" w:name="_Toc442730498"/>
      <w:r>
        <w:rPr>
          <w:b/>
          <w:szCs w:val="24"/>
        </w:rPr>
        <w:t xml:space="preserve">European </w:t>
      </w:r>
      <w:r w:rsidR="00FD3C5D">
        <w:rPr>
          <w:b/>
          <w:szCs w:val="24"/>
        </w:rPr>
        <w:t>Commission</w:t>
      </w:r>
      <w:r>
        <w:rPr>
          <w:b/>
          <w:szCs w:val="24"/>
        </w:rPr>
        <w:t>’s report – key points</w:t>
      </w:r>
      <w:bookmarkEnd w:id="2"/>
    </w:p>
    <w:p w:rsidR="00C72DFA" w:rsidRDefault="00C72DFA" w:rsidP="00C72DFA">
      <w:pPr>
        <w:spacing w:after="120"/>
        <w:jc w:val="both"/>
        <w:rPr>
          <w:sz w:val="24"/>
          <w:szCs w:val="24"/>
        </w:rPr>
      </w:pPr>
      <w:r w:rsidRPr="00C72DFA">
        <w:rPr>
          <w:sz w:val="24"/>
          <w:szCs w:val="24"/>
        </w:rPr>
        <w:t xml:space="preserve">In September 2015 the European </w:t>
      </w:r>
      <w:r w:rsidR="00FD3C5D">
        <w:rPr>
          <w:sz w:val="24"/>
          <w:szCs w:val="24"/>
        </w:rPr>
        <w:t>Commission</w:t>
      </w:r>
      <w:r w:rsidRPr="00C72DFA">
        <w:rPr>
          <w:sz w:val="24"/>
          <w:szCs w:val="24"/>
        </w:rPr>
        <w:t xml:space="preserve"> published its first report to the European Parliament and the Council on the application of the directive. Most </w:t>
      </w:r>
      <w:r w:rsidR="00FD3C5D">
        <w:rPr>
          <w:sz w:val="24"/>
          <w:szCs w:val="24"/>
        </w:rPr>
        <w:t>Member State</w:t>
      </w:r>
      <w:r w:rsidRPr="00C72DFA">
        <w:rPr>
          <w:sz w:val="24"/>
          <w:szCs w:val="24"/>
        </w:rPr>
        <w:t xml:space="preserve">s were late in transposing and implementing the directive into their national laws, and many have not publicised the directive widely. This is a likely reason for the generally low awareness among EU citizens of their rights under the directive. In EPF seminars, patient representatives from many </w:t>
      </w:r>
      <w:r w:rsidR="00FD3C5D">
        <w:rPr>
          <w:sz w:val="24"/>
          <w:szCs w:val="24"/>
        </w:rPr>
        <w:t>Member State</w:t>
      </w:r>
      <w:r w:rsidRPr="00C72DFA">
        <w:rPr>
          <w:sz w:val="24"/>
          <w:szCs w:val="24"/>
        </w:rPr>
        <w:t xml:space="preserve">s said they had not received information about the directive or even the existence of their </w:t>
      </w:r>
      <w:r w:rsidR="00FD3C5D">
        <w:rPr>
          <w:sz w:val="24"/>
          <w:szCs w:val="24"/>
        </w:rPr>
        <w:t>National Contact Point</w:t>
      </w:r>
      <w:r w:rsidRPr="00C72DFA">
        <w:rPr>
          <w:sz w:val="24"/>
          <w:szCs w:val="24"/>
        </w:rPr>
        <w:t>.</w:t>
      </w:r>
    </w:p>
    <w:p w:rsidR="00C72DFA" w:rsidRPr="00C72DFA" w:rsidRDefault="00C72DFA" w:rsidP="00C72DFA">
      <w:pPr>
        <w:spacing w:after="120"/>
        <w:jc w:val="both"/>
        <w:rPr>
          <w:sz w:val="24"/>
          <w:szCs w:val="24"/>
        </w:rPr>
      </w:pPr>
      <w:r>
        <w:rPr>
          <w:sz w:val="24"/>
          <w:szCs w:val="24"/>
        </w:rPr>
        <w:t xml:space="preserve">The </w:t>
      </w:r>
      <w:r w:rsidR="00FD3C5D">
        <w:rPr>
          <w:sz w:val="24"/>
          <w:szCs w:val="24"/>
        </w:rPr>
        <w:t>Commission</w:t>
      </w:r>
      <w:r>
        <w:rPr>
          <w:sz w:val="24"/>
          <w:szCs w:val="24"/>
        </w:rPr>
        <w:t xml:space="preserve"> also published an evaluative study</w:t>
      </w:r>
      <w:r>
        <w:rPr>
          <w:rStyle w:val="FootnoteReference"/>
          <w:sz w:val="24"/>
          <w:szCs w:val="24"/>
        </w:rPr>
        <w:footnoteReference w:id="3"/>
      </w:r>
      <w:r>
        <w:rPr>
          <w:sz w:val="24"/>
          <w:szCs w:val="24"/>
        </w:rPr>
        <w:t xml:space="preserve"> </w:t>
      </w:r>
      <w:r w:rsidR="00BA4C1A">
        <w:rPr>
          <w:sz w:val="24"/>
          <w:szCs w:val="24"/>
        </w:rPr>
        <w:t xml:space="preserve">in March 2015 </w:t>
      </w:r>
      <w:r>
        <w:rPr>
          <w:sz w:val="24"/>
          <w:szCs w:val="24"/>
        </w:rPr>
        <w:t xml:space="preserve">and </w:t>
      </w:r>
      <w:r w:rsidR="00BA4C1A">
        <w:rPr>
          <w:sz w:val="24"/>
          <w:szCs w:val="24"/>
        </w:rPr>
        <w:t xml:space="preserve">a </w:t>
      </w:r>
      <w:r>
        <w:rPr>
          <w:sz w:val="24"/>
          <w:szCs w:val="24"/>
        </w:rPr>
        <w:t xml:space="preserve">special </w:t>
      </w:r>
      <w:proofErr w:type="spellStart"/>
      <w:r>
        <w:rPr>
          <w:sz w:val="24"/>
          <w:szCs w:val="24"/>
        </w:rPr>
        <w:t>eurobarometer</w:t>
      </w:r>
      <w:proofErr w:type="spellEnd"/>
      <w:r>
        <w:rPr>
          <w:rStyle w:val="FootnoteReference"/>
          <w:sz w:val="24"/>
          <w:szCs w:val="24"/>
        </w:rPr>
        <w:footnoteReference w:id="4"/>
      </w:r>
      <w:r>
        <w:rPr>
          <w:sz w:val="24"/>
          <w:szCs w:val="24"/>
        </w:rPr>
        <w:t xml:space="preserve"> in May 2015.</w:t>
      </w:r>
      <w:r w:rsidR="0030471A">
        <w:rPr>
          <w:sz w:val="24"/>
          <w:szCs w:val="24"/>
        </w:rPr>
        <w:t xml:space="preserve"> The </w:t>
      </w:r>
      <w:proofErr w:type="spellStart"/>
      <w:r w:rsidR="0030471A">
        <w:rPr>
          <w:sz w:val="24"/>
          <w:szCs w:val="24"/>
        </w:rPr>
        <w:t>eurobarometer</w:t>
      </w:r>
      <w:proofErr w:type="spellEnd"/>
      <w:r w:rsidR="0030471A">
        <w:rPr>
          <w:sz w:val="24"/>
          <w:szCs w:val="24"/>
        </w:rPr>
        <w:t xml:space="preserve"> survey indicated that fewer than 2 out of 10 respondents felt that they are informed about their rights in cross-border healthcare. </w:t>
      </w:r>
    </w:p>
    <w:p w:rsidR="00170601" w:rsidRDefault="00170601" w:rsidP="00170601">
      <w:pPr>
        <w:spacing w:after="120"/>
        <w:jc w:val="both"/>
        <w:rPr>
          <w:sz w:val="24"/>
          <w:szCs w:val="24"/>
        </w:rPr>
      </w:pPr>
      <w:r>
        <w:rPr>
          <w:sz w:val="24"/>
          <w:szCs w:val="24"/>
        </w:rPr>
        <w:lastRenderedPageBreak/>
        <w:t xml:space="preserve">The report indicates that </w:t>
      </w:r>
      <w:r w:rsidR="00DB3610">
        <w:rPr>
          <w:sz w:val="24"/>
          <w:szCs w:val="24"/>
        </w:rPr>
        <w:t xml:space="preserve">most </w:t>
      </w:r>
      <w:r w:rsidR="00FD3C5D">
        <w:rPr>
          <w:sz w:val="24"/>
          <w:szCs w:val="24"/>
        </w:rPr>
        <w:t>Member State</w:t>
      </w:r>
      <w:r w:rsidR="00DB3610">
        <w:rPr>
          <w:sz w:val="24"/>
          <w:szCs w:val="24"/>
        </w:rPr>
        <w:t xml:space="preserve">s were late in transposing the directive. In addition, </w:t>
      </w:r>
      <w:r>
        <w:rPr>
          <w:sz w:val="24"/>
          <w:szCs w:val="24"/>
        </w:rPr>
        <w:t xml:space="preserve">several </w:t>
      </w:r>
      <w:r w:rsidR="00FD3C5D">
        <w:rPr>
          <w:sz w:val="24"/>
          <w:szCs w:val="24"/>
        </w:rPr>
        <w:t>Member State</w:t>
      </w:r>
      <w:r>
        <w:rPr>
          <w:sz w:val="24"/>
          <w:szCs w:val="24"/>
        </w:rPr>
        <w:t xml:space="preserve">s </w:t>
      </w:r>
      <w:r w:rsidR="00DB3610">
        <w:rPr>
          <w:sz w:val="24"/>
          <w:szCs w:val="24"/>
        </w:rPr>
        <w:t xml:space="preserve">appear not to </w:t>
      </w:r>
      <w:r>
        <w:rPr>
          <w:sz w:val="24"/>
          <w:szCs w:val="24"/>
        </w:rPr>
        <w:t>have applied the directive correctly in key areas such as prior authorisation, administrative procedures, and information to patients.</w:t>
      </w:r>
      <w:r w:rsidR="00AE28DB">
        <w:rPr>
          <w:sz w:val="24"/>
          <w:szCs w:val="24"/>
        </w:rPr>
        <w:t xml:space="preserve"> “…there are a considerable number of </w:t>
      </w:r>
      <w:r w:rsidR="00FD3C5D">
        <w:rPr>
          <w:sz w:val="24"/>
          <w:szCs w:val="24"/>
        </w:rPr>
        <w:t>Member State</w:t>
      </w:r>
      <w:r w:rsidR="00AE28DB">
        <w:rPr>
          <w:sz w:val="24"/>
          <w:szCs w:val="24"/>
        </w:rPr>
        <w:t xml:space="preserve">s where the obstacles placed in the way of patients by health systems are significant, and which, in some cases at least, appears to be the result of intentional political choices: some of the current systems of prior authorisation are more extensive than the current numbers of requests would appear to justify; in many cases it is not clear exactly which treatments require prior authorisation; lower reimbursement tariff standards used in the home </w:t>
      </w:r>
      <w:r w:rsidR="00FD3C5D">
        <w:rPr>
          <w:sz w:val="24"/>
          <w:szCs w:val="24"/>
        </w:rPr>
        <w:t>Member State</w:t>
      </w:r>
      <w:r w:rsidR="00AE28DB">
        <w:rPr>
          <w:sz w:val="24"/>
          <w:szCs w:val="24"/>
        </w:rPr>
        <w:t xml:space="preserve"> are a clear disincentive; there are a number of burdensome administrative requirements which may well deter patients.” (</w:t>
      </w:r>
      <w:r w:rsidR="00FD3C5D">
        <w:rPr>
          <w:sz w:val="24"/>
          <w:szCs w:val="24"/>
        </w:rPr>
        <w:t>Commission</w:t>
      </w:r>
      <w:r w:rsidR="00AE28DB">
        <w:rPr>
          <w:sz w:val="24"/>
          <w:szCs w:val="24"/>
        </w:rPr>
        <w:t xml:space="preserve">’s report, p. 13) </w:t>
      </w:r>
    </w:p>
    <w:p w:rsidR="00DB5A9E" w:rsidRDefault="00DB5A9E" w:rsidP="00170601">
      <w:pPr>
        <w:spacing w:after="120"/>
        <w:jc w:val="both"/>
        <w:rPr>
          <w:sz w:val="24"/>
          <w:szCs w:val="24"/>
        </w:rPr>
      </w:pPr>
      <w:r>
        <w:rPr>
          <w:sz w:val="24"/>
          <w:szCs w:val="24"/>
        </w:rPr>
        <w:t xml:space="preserve">In terms of </w:t>
      </w:r>
      <w:r w:rsidR="00E40DC3">
        <w:rPr>
          <w:sz w:val="24"/>
          <w:szCs w:val="24"/>
        </w:rPr>
        <w:t xml:space="preserve">the </w:t>
      </w:r>
      <w:r>
        <w:rPr>
          <w:sz w:val="24"/>
          <w:szCs w:val="24"/>
        </w:rPr>
        <w:t xml:space="preserve">numbers of patients travelling abroad for treatment, </w:t>
      </w:r>
      <w:r w:rsidR="00E40DC3">
        <w:rPr>
          <w:sz w:val="24"/>
          <w:szCs w:val="24"/>
        </w:rPr>
        <w:t xml:space="preserve">not all </w:t>
      </w:r>
      <w:r w:rsidR="00FD3C5D">
        <w:rPr>
          <w:sz w:val="24"/>
          <w:szCs w:val="24"/>
        </w:rPr>
        <w:t>Member State</w:t>
      </w:r>
      <w:r w:rsidR="00E40DC3">
        <w:rPr>
          <w:sz w:val="24"/>
          <w:szCs w:val="24"/>
        </w:rPr>
        <w:t xml:space="preserve">s were able to supply data to the </w:t>
      </w:r>
      <w:r w:rsidR="00FD3C5D">
        <w:rPr>
          <w:sz w:val="24"/>
          <w:szCs w:val="24"/>
        </w:rPr>
        <w:t>Commission</w:t>
      </w:r>
      <w:r w:rsidR="00E40DC3">
        <w:rPr>
          <w:sz w:val="24"/>
          <w:szCs w:val="24"/>
        </w:rPr>
        <w:t xml:space="preserve"> </w:t>
      </w:r>
      <w:r w:rsidR="0041693F">
        <w:rPr>
          <w:sz w:val="24"/>
          <w:szCs w:val="24"/>
        </w:rPr>
        <w:t xml:space="preserve">and the data collection is not comparable from one country to another. (e.g., some countries report all reimbursements without specifying whether they were given under the Directive or the Regulation.) However, </w:t>
      </w:r>
      <w:r w:rsidR="00E40DC3">
        <w:rPr>
          <w:sz w:val="24"/>
          <w:szCs w:val="24"/>
        </w:rPr>
        <w:t xml:space="preserve">the overall </w:t>
      </w:r>
      <w:r w:rsidR="0041693F">
        <w:rPr>
          <w:sz w:val="24"/>
          <w:szCs w:val="24"/>
        </w:rPr>
        <w:t xml:space="preserve">conclusion </w:t>
      </w:r>
      <w:r w:rsidR="00E40DC3">
        <w:rPr>
          <w:sz w:val="24"/>
          <w:szCs w:val="24"/>
        </w:rPr>
        <w:t xml:space="preserve">is that the numbers </w:t>
      </w:r>
      <w:r>
        <w:rPr>
          <w:sz w:val="24"/>
          <w:szCs w:val="24"/>
        </w:rPr>
        <w:t>are still very small</w:t>
      </w:r>
      <w:r w:rsidR="0041693F">
        <w:rPr>
          <w:sz w:val="24"/>
          <w:szCs w:val="24"/>
        </w:rPr>
        <w:t>. P</w:t>
      </w:r>
      <w:r w:rsidR="00212091">
        <w:rPr>
          <w:sz w:val="24"/>
          <w:szCs w:val="24"/>
        </w:rPr>
        <w:t>ossible</w:t>
      </w:r>
      <w:r w:rsidR="0041693F">
        <w:rPr>
          <w:sz w:val="24"/>
          <w:szCs w:val="24"/>
        </w:rPr>
        <w:t xml:space="preserve"> </w:t>
      </w:r>
      <w:r w:rsidR="00212091">
        <w:rPr>
          <w:sz w:val="24"/>
          <w:szCs w:val="24"/>
        </w:rPr>
        <w:t xml:space="preserve">exceptions </w:t>
      </w:r>
      <w:r w:rsidR="0041693F">
        <w:rPr>
          <w:sz w:val="24"/>
          <w:szCs w:val="24"/>
        </w:rPr>
        <w:t xml:space="preserve">are </w:t>
      </w:r>
      <w:r w:rsidR="00212091">
        <w:rPr>
          <w:sz w:val="24"/>
          <w:szCs w:val="24"/>
        </w:rPr>
        <w:t>France, Luxembourg, Denmark and Finland</w:t>
      </w:r>
      <w:r>
        <w:rPr>
          <w:sz w:val="24"/>
          <w:szCs w:val="24"/>
        </w:rPr>
        <w:t xml:space="preserve">. (See </w:t>
      </w:r>
      <w:r w:rsidR="00FD3C5D">
        <w:rPr>
          <w:sz w:val="24"/>
          <w:szCs w:val="24"/>
        </w:rPr>
        <w:t>Commission</w:t>
      </w:r>
      <w:r>
        <w:rPr>
          <w:sz w:val="24"/>
          <w:szCs w:val="24"/>
        </w:rPr>
        <w:t>’s report, p.7)</w:t>
      </w:r>
    </w:p>
    <w:p w:rsidR="00170601" w:rsidRPr="00170601" w:rsidRDefault="00170601" w:rsidP="00170601">
      <w:pPr>
        <w:spacing w:after="120"/>
        <w:jc w:val="both"/>
        <w:rPr>
          <w:sz w:val="24"/>
          <w:szCs w:val="24"/>
        </w:rPr>
      </w:pPr>
    </w:p>
    <w:p w:rsidR="00763841" w:rsidRPr="009E1E53" w:rsidRDefault="00763841" w:rsidP="00120B19">
      <w:pPr>
        <w:pStyle w:val="Heading1"/>
        <w:numPr>
          <w:ilvl w:val="0"/>
          <w:numId w:val="1"/>
        </w:numPr>
        <w:spacing w:before="0" w:after="240" w:line="240" w:lineRule="auto"/>
        <w:ind w:left="709" w:hanging="567"/>
        <w:rPr>
          <w:b/>
          <w:szCs w:val="24"/>
        </w:rPr>
      </w:pPr>
      <w:bookmarkStart w:id="3" w:name="_Toc442730499"/>
      <w:r w:rsidRPr="009E1E53">
        <w:rPr>
          <w:b/>
          <w:szCs w:val="24"/>
        </w:rPr>
        <w:t xml:space="preserve">Key </w:t>
      </w:r>
      <w:r w:rsidR="00B958EF" w:rsidRPr="009E1E53">
        <w:rPr>
          <w:b/>
          <w:szCs w:val="24"/>
        </w:rPr>
        <w:t xml:space="preserve">areas of the directive identified by </w:t>
      </w:r>
      <w:r w:rsidR="000B0D65">
        <w:rPr>
          <w:b/>
          <w:szCs w:val="24"/>
        </w:rPr>
        <w:t>patients</w:t>
      </w:r>
      <w:bookmarkEnd w:id="3"/>
    </w:p>
    <w:p w:rsidR="000B0D65" w:rsidRDefault="000B0D65" w:rsidP="000B0D65">
      <w:pPr>
        <w:spacing w:after="120"/>
        <w:jc w:val="both"/>
        <w:rPr>
          <w:sz w:val="24"/>
          <w:szCs w:val="24"/>
        </w:rPr>
      </w:pPr>
      <w:r w:rsidRPr="000B0D65">
        <w:rPr>
          <w:sz w:val="24"/>
          <w:szCs w:val="24"/>
        </w:rPr>
        <w:t>The present paper draws on the above experiences and the feedback gathered so far from patient organisations. It identifies the most important areas where more needs to be done to ensure that this legislation alleviates inequalities instead of creating them; get patients everywhere in the EU are well informed about their rights and how to exercise them; and that patient organisations are meaningfully involved at the national level in monitoring the implementation of the directive.</w:t>
      </w:r>
    </w:p>
    <w:p w:rsidR="005C65B9" w:rsidRPr="009E1004" w:rsidRDefault="005C65B9" w:rsidP="00120B19">
      <w:pPr>
        <w:pStyle w:val="Heading1"/>
        <w:numPr>
          <w:ilvl w:val="1"/>
          <w:numId w:val="1"/>
        </w:numPr>
        <w:spacing w:before="0" w:after="120" w:line="240" w:lineRule="auto"/>
        <w:rPr>
          <w:b/>
          <w:color w:val="17365D" w:themeColor="text2" w:themeShade="BF"/>
          <w:sz w:val="28"/>
          <w:szCs w:val="24"/>
        </w:rPr>
      </w:pPr>
      <w:bookmarkStart w:id="4" w:name="_Toc442730500"/>
      <w:r w:rsidRPr="009E1004">
        <w:rPr>
          <w:b/>
          <w:color w:val="17365D" w:themeColor="text2" w:themeShade="BF"/>
          <w:sz w:val="28"/>
          <w:szCs w:val="24"/>
        </w:rPr>
        <w:t>Patients’ rights</w:t>
      </w:r>
      <w:bookmarkEnd w:id="4"/>
    </w:p>
    <w:p w:rsidR="009E1004" w:rsidRDefault="005C65B9" w:rsidP="005C65B9">
      <w:pPr>
        <w:spacing w:after="120" w:line="252" w:lineRule="auto"/>
        <w:jc w:val="both"/>
        <w:rPr>
          <w:sz w:val="24"/>
          <w:szCs w:val="24"/>
        </w:rPr>
      </w:pPr>
      <w:r>
        <w:rPr>
          <w:sz w:val="24"/>
          <w:szCs w:val="24"/>
        </w:rPr>
        <w:t xml:space="preserve">The original purpose of the directive was to clarify patients’ legal rights. </w:t>
      </w:r>
      <w:r w:rsidR="009E1004">
        <w:rPr>
          <w:sz w:val="24"/>
          <w:szCs w:val="24"/>
        </w:rPr>
        <w:t>However, as it has been implemented to date this objective has not been achieved.</w:t>
      </w:r>
    </w:p>
    <w:p w:rsidR="005C65B9" w:rsidRPr="00AE35BF" w:rsidRDefault="005C65B9" w:rsidP="005C65B9">
      <w:pPr>
        <w:spacing w:after="120" w:line="252" w:lineRule="auto"/>
        <w:jc w:val="both"/>
        <w:rPr>
          <w:sz w:val="24"/>
          <w:szCs w:val="24"/>
        </w:rPr>
      </w:pPr>
      <w:r>
        <w:rPr>
          <w:sz w:val="24"/>
          <w:szCs w:val="24"/>
        </w:rPr>
        <w:t xml:space="preserve">EPF believes that patients’ rights, equity of access, quality of care and information are inextricably connected – in order for any right to be meaningful, patients need to know they have a right, and it has to be in practice possible to exercise that right. </w:t>
      </w:r>
    </w:p>
    <w:p w:rsidR="005C65B9" w:rsidRDefault="005C65B9" w:rsidP="005C65B9">
      <w:pPr>
        <w:spacing w:after="120" w:line="252" w:lineRule="auto"/>
        <w:jc w:val="both"/>
        <w:rPr>
          <w:sz w:val="24"/>
          <w:szCs w:val="24"/>
        </w:rPr>
      </w:pPr>
      <w:r>
        <w:rPr>
          <w:sz w:val="24"/>
          <w:szCs w:val="24"/>
        </w:rPr>
        <w:t xml:space="preserve">We recommend that there should be a European-wide framework for monitoring and implementing </w:t>
      </w:r>
      <w:r w:rsidRPr="00AE35BF">
        <w:rPr>
          <w:sz w:val="24"/>
          <w:szCs w:val="24"/>
        </w:rPr>
        <w:t xml:space="preserve">patients’ </w:t>
      </w:r>
      <w:r>
        <w:rPr>
          <w:sz w:val="24"/>
          <w:szCs w:val="24"/>
        </w:rPr>
        <w:t xml:space="preserve">rights. Especially, there should be a mechanism to address </w:t>
      </w:r>
      <w:r w:rsidRPr="00AE35BF">
        <w:rPr>
          <w:sz w:val="24"/>
          <w:szCs w:val="24"/>
        </w:rPr>
        <w:t xml:space="preserve">complaints </w:t>
      </w:r>
      <w:r>
        <w:rPr>
          <w:sz w:val="24"/>
          <w:szCs w:val="24"/>
        </w:rPr>
        <w:t>in cases where patients feel their rights have not been respected</w:t>
      </w:r>
      <w:r w:rsidRPr="00AE35BF">
        <w:rPr>
          <w:sz w:val="24"/>
          <w:szCs w:val="24"/>
        </w:rPr>
        <w:t>.</w:t>
      </w:r>
      <w:r>
        <w:rPr>
          <w:sz w:val="24"/>
          <w:szCs w:val="24"/>
        </w:rPr>
        <w:t xml:space="preserve"> </w:t>
      </w:r>
      <w:r w:rsidRPr="009E1E53">
        <w:rPr>
          <w:sz w:val="24"/>
          <w:szCs w:val="24"/>
        </w:rPr>
        <w:t xml:space="preserve">A patients’ Ombudsman </w:t>
      </w:r>
      <w:r>
        <w:rPr>
          <w:sz w:val="24"/>
          <w:szCs w:val="24"/>
        </w:rPr>
        <w:t xml:space="preserve">could </w:t>
      </w:r>
      <w:r w:rsidRPr="009E1E53">
        <w:rPr>
          <w:sz w:val="24"/>
          <w:szCs w:val="24"/>
        </w:rPr>
        <w:t xml:space="preserve">be set up at </w:t>
      </w:r>
      <w:r>
        <w:rPr>
          <w:sz w:val="24"/>
          <w:szCs w:val="24"/>
        </w:rPr>
        <w:t xml:space="preserve">EU </w:t>
      </w:r>
      <w:r w:rsidRPr="009E1E53">
        <w:rPr>
          <w:sz w:val="24"/>
          <w:szCs w:val="24"/>
        </w:rPr>
        <w:t>level</w:t>
      </w:r>
      <w:r>
        <w:rPr>
          <w:sz w:val="24"/>
          <w:szCs w:val="24"/>
        </w:rPr>
        <w:t xml:space="preserve"> with a network of ombudsm</w:t>
      </w:r>
      <w:r w:rsidR="005F577E">
        <w:rPr>
          <w:sz w:val="24"/>
          <w:szCs w:val="24"/>
        </w:rPr>
        <w:t>e</w:t>
      </w:r>
      <w:r>
        <w:rPr>
          <w:sz w:val="24"/>
          <w:szCs w:val="24"/>
        </w:rPr>
        <w:t xml:space="preserve">n in all </w:t>
      </w:r>
      <w:r w:rsidR="00FD3C5D">
        <w:rPr>
          <w:sz w:val="24"/>
          <w:szCs w:val="24"/>
        </w:rPr>
        <w:t>Member State</w:t>
      </w:r>
      <w:r>
        <w:rPr>
          <w:sz w:val="24"/>
          <w:szCs w:val="24"/>
        </w:rPr>
        <w:t xml:space="preserve">s </w:t>
      </w:r>
      <w:r w:rsidR="005F577E">
        <w:rPr>
          <w:sz w:val="24"/>
          <w:szCs w:val="24"/>
        </w:rPr>
        <w:t xml:space="preserve">– </w:t>
      </w:r>
      <w:r>
        <w:rPr>
          <w:sz w:val="24"/>
          <w:szCs w:val="24"/>
        </w:rPr>
        <w:t>some</w:t>
      </w:r>
      <w:r w:rsidR="005F577E">
        <w:rPr>
          <w:sz w:val="24"/>
          <w:szCs w:val="24"/>
        </w:rPr>
        <w:t xml:space="preserve"> </w:t>
      </w:r>
      <w:r>
        <w:rPr>
          <w:sz w:val="24"/>
          <w:szCs w:val="24"/>
        </w:rPr>
        <w:t xml:space="preserve">of which already have </w:t>
      </w:r>
      <w:r w:rsidR="005F577E">
        <w:rPr>
          <w:sz w:val="24"/>
          <w:szCs w:val="24"/>
        </w:rPr>
        <w:t>established patient ombudsman offices.</w:t>
      </w:r>
    </w:p>
    <w:p w:rsidR="005F577E" w:rsidRDefault="005F577E" w:rsidP="001B5B5B">
      <w:pPr>
        <w:spacing w:after="240" w:line="252" w:lineRule="auto"/>
        <w:jc w:val="both"/>
        <w:rPr>
          <w:sz w:val="24"/>
          <w:szCs w:val="24"/>
        </w:rPr>
      </w:pPr>
      <w:r>
        <w:rPr>
          <w:sz w:val="24"/>
          <w:szCs w:val="24"/>
        </w:rPr>
        <w:lastRenderedPageBreak/>
        <w:t xml:space="preserve">The EU Executive Agency (CHAFEA) has recently </w:t>
      </w:r>
      <w:r w:rsidR="00FD3C5D">
        <w:rPr>
          <w:sz w:val="24"/>
          <w:szCs w:val="24"/>
        </w:rPr>
        <w:t>Commission</w:t>
      </w:r>
      <w:r>
        <w:rPr>
          <w:sz w:val="24"/>
          <w:szCs w:val="24"/>
        </w:rPr>
        <w:t>ed a study mapping patients’ rights across the EU.</w:t>
      </w:r>
      <w:r w:rsidRPr="003608D2">
        <w:rPr>
          <w:vertAlign w:val="superscript"/>
        </w:rPr>
        <w:footnoteReference w:id="5"/>
      </w:r>
      <w:r>
        <w:rPr>
          <w:sz w:val="24"/>
          <w:szCs w:val="24"/>
        </w:rPr>
        <w:t xml:space="preserve"> Preliminary results indicate that patients’ rights systems vary across </w:t>
      </w:r>
      <w:r w:rsidR="00FD3C5D">
        <w:rPr>
          <w:sz w:val="24"/>
          <w:szCs w:val="24"/>
        </w:rPr>
        <w:t>Member State</w:t>
      </w:r>
      <w:r>
        <w:rPr>
          <w:sz w:val="24"/>
          <w:szCs w:val="24"/>
        </w:rPr>
        <w:t>s, and whilst certain rights are well established, there are significant weaknesses in enforcement. In addition, the study did not look at factors that affect people’s capacity to make use of their rights in practice (such as information, health literacy, bureaucracy…).</w:t>
      </w:r>
    </w:p>
    <w:p w:rsidR="005F577E" w:rsidRPr="003608D2" w:rsidRDefault="005F577E" w:rsidP="005C65B9">
      <w:pPr>
        <w:spacing w:after="60" w:line="252" w:lineRule="auto"/>
        <w:jc w:val="both"/>
        <w:rPr>
          <w:b/>
          <w:color w:val="1F497D" w:themeColor="text2"/>
          <w:sz w:val="24"/>
          <w:szCs w:val="24"/>
        </w:rPr>
      </w:pPr>
      <w:r w:rsidRPr="003608D2">
        <w:rPr>
          <w:b/>
          <w:color w:val="1F497D" w:themeColor="text2"/>
          <w:sz w:val="24"/>
          <w:szCs w:val="24"/>
        </w:rPr>
        <w:t xml:space="preserve">EPF Recommendation: </w:t>
      </w:r>
    </w:p>
    <w:p w:rsidR="005C65B9" w:rsidRPr="00B804F9" w:rsidRDefault="005F577E" w:rsidP="00120B19">
      <w:pPr>
        <w:pStyle w:val="ListParagraph"/>
        <w:numPr>
          <w:ilvl w:val="0"/>
          <w:numId w:val="10"/>
        </w:numPr>
        <w:spacing w:after="60" w:line="252" w:lineRule="auto"/>
        <w:ind w:left="426"/>
        <w:jc w:val="both"/>
        <w:rPr>
          <w:color w:val="1F497D" w:themeColor="text2"/>
          <w:sz w:val="24"/>
          <w:szCs w:val="24"/>
        </w:rPr>
      </w:pPr>
      <w:r w:rsidRPr="00B804F9">
        <w:rPr>
          <w:color w:val="1F497D" w:themeColor="text2"/>
          <w:sz w:val="24"/>
          <w:szCs w:val="24"/>
        </w:rPr>
        <w:t xml:space="preserve">The </w:t>
      </w:r>
      <w:r w:rsidR="00FD3C5D" w:rsidRPr="00B804F9">
        <w:rPr>
          <w:color w:val="1F497D" w:themeColor="text2"/>
          <w:sz w:val="24"/>
          <w:szCs w:val="24"/>
        </w:rPr>
        <w:t>Commission</w:t>
      </w:r>
      <w:r w:rsidRPr="00B804F9">
        <w:rPr>
          <w:color w:val="1F497D" w:themeColor="text2"/>
          <w:sz w:val="24"/>
          <w:szCs w:val="24"/>
        </w:rPr>
        <w:t xml:space="preserve"> should undertake</w:t>
      </w:r>
      <w:r w:rsidR="005C65B9" w:rsidRPr="00B804F9">
        <w:rPr>
          <w:color w:val="1F497D" w:themeColor="text2"/>
          <w:sz w:val="24"/>
          <w:szCs w:val="24"/>
        </w:rPr>
        <w:t xml:space="preserve"> a regular mapping of patients’ rights across the EU, building further on the </w:t>
      </w:r>
      <w:r w:rsidRPr="00B804F9">
        <w:rPr>
          <w:color w:val="1F497D" w:themeColor="text2"/>
          <w:sz w:val="24"/>
          <w:szCs w:val="24"/>
        </w:rPr>
        <w:t xml:space="preserve">results of the </w:t>
      </w:r>
      <w:r w:rsidR="005C65B9" w:rsidRPr="00B804F9">
        <w:rPr>
          <w:color w:val="1F497D" w:themeColor="text2"/>
          <w:sz w:val="24"/>
          <w:szCs w:val="24"/>
        </w:rPr>
        <w:t xml:space="preserve">study </w:t>
      </w:r>
      <w:r w:rsidR="003608D2" w:rsidRPr="00B804F9">
        <w:rPr>
          <w:color w:val="1F497D" w:themeColor="text2"/>
          <w:sz w:val="24"/>
          <w:szCs w:val="24"/>
        </w:rPr>
        <w:t>c</w:t>
      </w:r>
      <w:r w:rsidR="00FD3C5D" w:rsidRPr="00B804F9">
        <w:rPr>
          <w:color w:val="1F497D" w:themeColor="text2"/>
          <w:sz w:val="24"/>
          <w:szCs w:val="24"/>
        </w:rPr>
        <w:t>ommission</w:t>
      </w:r>
      <w:r w:rsidR="005C65B9" w:rsidRPr="00B804F9">
        <w:rPr>
          <w:color w:val="1F497D" w:themeColor="text2"/>
          <w:sz w:val="24"/>
          <w:szCs w:val="24"/>
        </w:rPr>
        <w:t>ed by CHAFEA</w:t>
      </w:r>
      <w:r w:rsidR="003608D2" w:rsidRPr="00B804F9">
        <w:rPr>
          <w:color w:val="1F497D" w:themeColor="text2"/>
          <w:sz w:val="24"/>
          <w:szCs w:val="24"/>
        </w:rPr>
        <w:t xml:space="preserve"> (when available)</w:t>
      </w:r>
      <w:r w:rsidR="005C65B9" w:rsidRPr="00B804F9">
        <w:rPr>
          <w:color w:val="1F497D" w:themeColor="text2"/>
          <w:sz w:val="24"/>
          <w:szCs w:val="24"/>
        </w:rPr>
        <w:t xml:space="preserve">. The mapping should focus not only on what rights exist in law, but the concrete implementation and enforcement of these rights. </w:t>
      </w:r>
    </w:p>
    <w:p w:rsidR="003054B4" w:rsidRPr="009E1E53" w:rsidRDefault="003054B4" w:rsidP="003054B4">
      <w:pPr>
        <w:spacing w:after="120"/>
        <w:jc w:val="both"/>
        <w:rPr>
          <w:sz w:val="24"/>
          <w:szCs w:val="24"/>
        </w:rPr>
      </w:pPr>
    </w:p>
    <w:p w:rsidR="003D1A12" w:rsidRPr="005A7683" w:rsidRDefault="003D1A12" w:rsidP="00120B19">
      <w:pPr>
        <w:pStyle w:val="Heading1"/>
        <w:numPr>
          <w:ilvl w:val="1"/>
          <w:numId w:val="1"/>
        </w:numPr>
        <w:spacing w:before="0" w:after="120" w:line="240" w:lineRule="auto"/>
        <w:rPr>
          <w:b/>
          <w:color w:val="17365D" w:themeColor="text2" w:themeShade="BF"/>
          <w:sz w:val="28"/>
          <w:szCs w:val="24"/>
        </w:rPr>
      </w:pPr>
      <w:bookmarkStart w:id="5" w:name="_Toc442730501"/>
      <w:r w:rsidRPr="005A7683">
        <w:rPr>
          <w:b/>
          <w:color w:val="17365D" w:themeColor="text2" w:themeShade="BF"/>
          <w:sz w:val="28"/>
          <w:szCs w:val="24"/>
        </w:rPr>
        <w:t>Information to patients</w:t>
      </w:r>
      <w:bookmarkEnd w:id="5"/>
      <w:r w:rsidRPr="005A7683">
        <w:rPr>
          <w:b/>
          <w:color w:val="17365D" w:themeColor="text2" w:themeShade="BF"/>
          <w:sz w:val="28"/>
          <w:szCs w:val="24"/>
        </w:rPr>
        <w:t xml:space="preserve"> </w:t>
      </w:r>
    </w:p>
    <w:p w:rsidR="00825F3D" w:rsidRPr="00825F3D" w:rsidRDefault="009C7A6E" w:rsidP="00825F3D">
      <w:pPr>
        <w:spacing w:after="120"/>
        <w:jc w:val="both"/>
        <w:rPr>
          <w:sz w:val="24"/>
          <w:szCs w:val="24"/>
        </w:rPr>
      </w:pPr>
      <w:r w:rsidRPr="009C7A6E">
        <w:rPr>
          <w:sz w:val="24"/>
          <w:szCs w:val="24"/>
        </w:rPr>
        <w:t xml:space="preserve">Information is fundamental to </w:t>
      </w:r>
      <w:r w:rsidR="000B0D65">
        <w:rPr>
          <w:sz w:val="24"/>
          <w:szCs w:val="24"/>
        </w:rPr>
        <w:t>exercising one’s rights</w:t>
      </w:r>
      <w:r w:rsidRPr="009C7A6E">
        <w:rPr>
          <w:sz w:val="24"/>
          <w:szCs w:val="24"/>
        </w:rPr>
        <w:t xml:space="preserve">. </w:t>
      </w:r>
      <w:r w:rsidR="005F577E">
        <w:rPr>
          <w:sz w:val="24"/>
          <w:szCs w:val="24"/>
        </w:rPr>
        <w:t>I</w:t>
      </w:r>
      <w:r w:rsidRPr="009C7A6E">
        <w:rPr>
          <w:sz w:val="24"/>
          <w:szCs w:val="24"/>
        </w:rPr>
        <w:t>nformation needs are complex, and the current level and quality of what is provided is too often patchy and not geared to patients’ needs.</w:t>
      </w:r>
      <w:r w:rsidR="005F577E">
        <w:rPr>
          <w:sz w:val="24"/>
          <w:szCs w:val="24"/>
        </w:rPr>
        <w:t xml:space="preserve"> </w:t>
      </w:r>
      <w:r w:rsidR="00FD3C5D" w:rsidRPr="00C936F6">
        <w:rPr>
          <w:sz w:val="24"/>
          <w:szCs w:val="24"/>
        </w:rPr>
        <w:t>A particular challenge is finding the right balance between providing comprehensive information and information that is simple enough to be understood.</w:t>
      </w:r>
      <w:r w:rsidR="003160D2">
        <w:rPr>
          <w:sz w:val="24"/>
          <w:szCs w:val="24"/>
        </w:rPr>
        <w:t xml:space="preserve"> </w:t>
      </w:r>
      <w:r w:rsidR="005F577E">
        <w:rPr>
          <w:sz w:val="24"/>
          <w:szCs w:val="24"/>
        </w:rPr>
        <w:t>As a result</w:t>
      </w:r>
      <w:r w:rsidRPr="009C7A6E">
        <w:rPr>
          <w:sz w:val="24"/>
          <w:szCs w:val="24"/>
        </w:rPr>
        <w:t xml:space="preserve">, patients face </w:t>
      </w:r>
      <w:r w:rsidR="00A21406">
        <w:rPr>
          <w:sz w:val="24"/>
          <w:szCs w:val="24"/>
        </w:rPr>
        <w:t>a “</w:t>
      </w:r>
      <w:r w:rsidRPr="009C7A6E">
        <w:rPr>
          <w:sz w:val="24"/>
          <w:szCs w:val="24"/>
        </w:rPr>
        <w:t>labyrinth</w:t>
      </w:r>
      <w:r w:rsidR="00A21406">
        <w:rPr>
          <w:sz w:val="24"/>
          <w:szCs w:val="24"/>
        </w:rPr>
        <w:t>”</w:t>
      </w:r>
      <w:r w:rsidRPr="009C7A6E">
        <w:rPr>
          <w:sz w:val="24"/>
          <w:szCs w:val="24"/>
        </w:rPr>
        <w:t xml:space="preserve"> of confusing, sometimes insufficient and sometimes too detailed information. </w:t>
      </w:r>
    </w:p>
    <w:p w:rsidR="00FD3C5D" w:rsidRDefault="00FD3C5D" w:rsidP="00593264">
      <w:pPr>
        <w:spacing w:after="120"/>
        <w:jc w:val="both"/>
        <w:rPr>
          <w:sz w:val="24"/>
          <w:szCs w:val="24"/>
        </w:rPr>
      </w:pPr>
      <w:r>
        <w:rPr>
          <w:sz w:val="24"/>
          <w:szCs w:val="24"/>
        </w:rPr>
        <w:t xml:space="preserve">The EPF report from our regional conferences provides extensive recommendations on what questions patients have and what information they need at different stages of their decision-making and “patient journey”. </w:t>
      </w:r>
      <w:r>
        <w:rPr>
          <w:rStyle w:val="FootnoteReference"/>
          <w:sz w:val="24"/>
          <w:szCs w:val="24"/>
        </w:rPr>
        <w:footnoteReference w:id="6"/>
      </w:r>
    </w:p>
    <w:p w:rsidR="00593264" w:rsidRPr="00825F3D" w:rsidRDefault="00FD3C5D" w:rsidP="00593264">
      <w:pPr>
        <w:spacing w:after="120"/>
        <w:jc w:val="both"/>
        <w:rPr>
          <w:sz w:val="24"/>
          <w:szCs w:val="24"/>
        </w:rPr>
      </w:pPr>
      <w:r w:rsidRPr="00825F3D">
        <w:rPr>
          <w:sz w:val="24"/>
          <w:szCs w:val="24"/>
        </w:rPr>
        <w:t>I</w:t>
      </w:r>
      <w:r w:rsidR="00593264" w:rsidRPr="00825F3D">
        <w:rPr>
          <w:sz w:val="24"/>
          <w:szCs w:val="24"/>
        </w:rPr>
        <w:t>nformation</w:t>
      </w:r>
      <w:r>
        <w:rPr>
          <w:sz w:val="24"/>
          <w:szCs w:val="24"/>
        </w:rPr>
        <w:t xml:space="preserve"> </w:t>
      </w:r>
      <w:r w:rsidR="00593264" w:rsidRPr="00825F3D">
        <w:rPr>
          <w:sz w:val="24"/>
          <w:szCs w:val="24"/>
        </w:rPr>
        <w:t xml:space="preserve">can </w:t>
      </w:r>
      <w:r>
        <w:rPr>
          <w:sz w:val="24"/>
          <w:szCs w:val="24"/>
        </w:rPr>
        <w:t xml:space="preserve">also </w:t>
      </w:r>
      <w:r w:rsidR="00593264" w:rsidRPr="00825F3D">
        <w:rPr>
          <w:sz w:val="24"/>
          <w:szCs w:val="24"/>
        </w:rPr>
        <w:t>be a politically sensitive subject; lack of political will can be a major barrier to provision of even basic information. Some governments app</w:t>
      </w:r>
      <w:r>
        <w:rPr>
          <w:sz w:val="24"/>
          <w:szCs w:val="24"/>
        </w:rPr>
        <w:t xml:space="preserve">ear to have </w:t>
      </w:r>
      <w:r w:rsidR="00593264" w:rsidRPr="00825F3D">
        <w:rPr>
          <w:sz w:val="24"/>
          <w:szCs w:val="24"/>
        </w:rPr>
        <w:t xml:space="preserve">taken the approach of providing minimal information and not communicating the existence of the </w:t>
      </w:r>
      <w:r>
        <w:rPr>
          <w:sz w:val="24"/>
          <w:szCs w:val="24"/>
        </w:rPr>
        <w:t>National Contact Point effectively to their citizens</w:t>
      </w:r>
      <w:r w:rsidR="00593264" w:rsidRPr="00825F3D">
        <w:rPr>
          <w:sz w:val="24"/>
          <w:szCs w:val="24"/>
        </w:rPr>
        <w:t xml:space="preserve">. </w:t>
      </w:r>
      <w:r w:rsidR="005B2F9B">
        <w:rPr>
          <w:sz w:val="24"/>
          <w:szCs w:val="24"/>
        </w:rPr>
        <w:t>Furthermore, the quantity and quality of information that NCPs are providing at the moment is variable, as shown by the EC evaluative study.</w:t>
      </w:r>
    </w:p>
    <w:p w:rsidR="005B2F9B" w:rsidRDefault="002F190B" w:rsidP="00825F3D">
      <w:pPr>
        <w:spacing w:after="120"/>
        <w:jc w:val="both"/>
        <w:rPr>
          <w:sz w:val="24"/>
          <w:szCs w:val="24"/>
        </w:rPr>
      </w:pPr>
      <w:r w:rsidRPr="00FD3C5D">
        <w:rPr>
          <w:sz w:val="24"/>
          <w:szCs w:val="24"/>
        </w:rPr>
        <w:t>I</w:t>
      </w:r>
      <w:r w:rsidR="00825F3D" w:rsidRPr="00FD3C5D">
        <w:rPr>
          <w:sz w:val="24"/>
          <w:szCs w:val="24"/>
        </w:rPr>
        <w:t>nformation</w:t>
      </w:r>
      <w:r>
        <w:rPr>
          <w:sz w:val="24"/>
          <w:szCs w:val="24"/>
        </w:rPr>
        <w:t xml:space="preserve"> </w:t>
      </w:r>
      <w:r w:rsidR="00825F3D" w:rsidRPr="00FD3C5D">
        <w:rPr>
          <w:sz w:val="24"/>
          <w:szCs w:val="24"/>
        </w:rPr>
        <w:t xml:space="preserve">about </w:t>
      </w:r>
      <w:r w:rsidR="00FD3C5D">
        <w:rPr>
          <w:sz w:val="24"/>
          <w:szCs w:val="24"/>
        </w:rPr>
        <w:t xml:space="preserve">the </w:t>
      </w:r>
      <w:r w:rsidR="005B2F9B">
        <w:rPr>
          <w:sz w:val="24"/>
          <w:szCs w:val="24"/>
        </w:rPr>
        <w:t xml:space="preserve">financial aspects of cross-border healthcare </w:t>
      </w:r>
      <w:r w:rsidR="00FD3C5D">
        <w:rPr>
          <w:sz w:val="24"/>
          <w:szCs w:val="24"/>
        </w:rPr>
        <w:t>is</w:t>
      </w:r>
      <w:r>
        <w:rPr>
          <w:sz w:val="24"/>
          <w:szCs w:val="24"/>
        </w:rPr>
        <w:t xml:space="preserve"> particularly</w:t>
      </w:r>
      <w:r w:rsidR="00FD3C5D">
        <w:rPr>
          <w:sz w:val="24"/>
          <w:szCs w:val="24"/>
        </w:rPr>
        <w:t xml:space="preserve"> important for patients to be able to make a meaningful choice; especially</w:t>
      </w:r>
      <w:r w:rsidR="00825F3D" w:rsidRPr="00825F3D">
        <w:rPr>
          <w:sz w:val="24"/>
          <w:szCs w:val="24"/>
        </w:rPr>
        <w:t xml:space="preserve"> </w:t>
      </w:r>
      <w:r w:rsidR="005B2F9B">
        <w:rPr>
          <w:sz w:val="24"/>
          <w:szCs w:val="24"/>
        </w:rPr>
        <w:t>since financial aspects and related bureaucracy are key barriers for patients to exercise their choice.</w:t>
      </w:r>
      <w:r w:rsidR="005B2F9B">
        <w:rPr>
          <w:rStyle w:val="FootnoteReference"/>
          <w:sz w:val="24"/>
          <w:szCs w:val="24"/>
        </w:rPr>
        <w:footnoteReference w:id="7"/>
      </w:r>
    </w:p>
    <w:p w:rsidR="005B2F9B" w:rsidRDefault="005B2F9B" w:rsidP="00825F3D">
      <w:pPr>
        <w:spacing w:after="120"/>
        <w:jc w:val="both"/>
        <w:rPr>
          <w:sz w:val="24"/>
          <w:szCs w:val="24"/>
        </w:rPr>
      </w:pPr>
      <w:r w:rsidRPr="003608D2">
        <w:rPr>
          <w:b/>
          <w:i/>
          <w:sz w:val="24"/>
          <w:szCs w:val="24"/>
        </w:rPr>
        <w:lastRenderedPageBreak/>
        <w:t>B</w:t>
      </w:r>
      <w:r w:rsidR="00FD3C5D" w:rsidRPr="003608D2">
        <w:rPr>
          <w:b/>
          <w:i/>
          <w:sz w:val="24"/>
          <w:szCs w:val="24"/>
        </w:rPr>
        <w:t>eing</w:t>
      </w:r>
      <w:r w:rsidRPr="003608D2">
        <w:rPr>
          <w:b/>
          <w:i/>
          <w:sz w:val="24"/>
          <w:szCs w:val="24"/>
        </w:rPr>
        <w:t xml:space="preserve"> </w:t>
      </w:r>
      <w:r w:rsidR="00FD3C5D" w:rsidRPr="003608D2">
        <w:rPr>
          <w:b/>
          <w:i/>
          <w:sz w:val="24"/>
          <w:szCs w:val="24"/>
        </w:rPr>
        <w:t xml:space="preserve">able to compare different </w:t>
      </w:r>
      <w:r w:rsidR="00825F3D" w:rsidRPr="003608D2">
        <w:rPr>
          <w:b/>
          <w:i/>
          <w:sz w:val="24"/>
          <w:szCs w:val="24"/>
        </w:rPr>
        <w:t>options</w:t>
      </w:r>
      <w:r>
        <w:rPr>
          <w:sz w:val="24"/>
          <w:szCs w:val="24"/>
        </w:rPr>
        <w:t xml:space="preserve"> is vital</w:t>
      </w:r>
      <w:r w:rsidR="004A4B74">
        <w:rPr>
          <w:sz w:val="24"/>
          <w:szCs w:val="24"/>
        </w:rPr>
        <w:t xml:space="preserve">. The EU evaluative study showed that many </w:t>
      </w:r>
      <w:r w:rsidR="00FD3C5D">
        <w:rPr>
          <w:sz w:val="24"/>
          <w:szCs w:val="24"/>
        </w:rPr>
        <w:t xml:space="preserve">NCPs </w:t>
      </w:r>
      <w:r w:rsidR="004A4B74">
        <w:rPr>
          <w:sz w:val="24"/>
          <w:szCs w:val="24"/>
        </w:rPr>
        <w:t xml:space="preserve">were not able to provide detailed information on </w:t>
      </w:r>
      <w:r>
        <w:rPr>
          <w:sz w:val="24"/>
          <w:szCs w:val="24"/>
        </w:rPr>
        <w:t xml:space="preserve">what costs and </w:t>
      </w:r>
      <w:r w:rsidR="004A4B74">
        <w:rPr>
          <w:sz w:val="24"/>
          <w:szCs w:val="24"/>
        </w:rPr>
        <w:t xml:space="preserve">how much would be reimbursed.  </w:t>
      </w:r>
      <w:r w:rsidR="00FD3C5D">
        <w:rPr>
          <w:sz w:val="24"/>
          <w:szCs w:val="24"/>
        </w:rPr>
        <w:t>Furthermore,</w:t>
      </w:r>
      <w:r w:rsidR="00627660">
        <w:rPr>
          <w:sz w:val="24"/>
          <w:szCs w:val="24"/>
        </w:rPr>
        <w:t xml:space="preserve"> in some cases the NCP and health insurer</w:t>
      </w:r>
      <w:r w:rsidR="00FD3C5D">
        <w:rPr>
          <w:sz w:val="24"/>
          <w:szCs w:val="24"/>
        </w:rPr>
        <w:t>s</w:t>
      </w:r>
      <w:r w:rsidR="00627660">
        <w:rPr>
          <w:sz w:val="24"/>
          <w:szCs w:val="24"/>
        </w:rPr>
        <w:t xml:space="preserve"> provide different answers to patients’ queries regarding the documents needed for reimbursement. </w:t>
      </w:r>
    </w:p>
    <w:p w:rsidR="00825F3D" w:rsidRDefault="00825F3D" w:rsidP="00825F3D">
      <w:pPr>
        <w:spacing w:after="120"/>
        <w:jc w:val="both"/>
        <w:rPr>
          <w:sz w:val="24"/>
          <w:szCs w:val="24"/>
        </w:rPr>
      </w:pPr>
      <w:r w:rsidRPr="00825F3D">
        <w:rPr>
          <w:sz w:val="24"/>
          <w:szCs w:val="24"/>
        </w:rPr>
        <w:t xml:space="preserve">Patients should be </w:t>
      </w:r>
      <w:r w:rsidR="005B2F9B">
        <w:rPr>
          <w:sz w:val="24"/>
          <w:szCs w:val="24"/>
        </w:rPr>
        <w:t xml:space="preserve">able to understand </w:t>
      </w:r>
      <w:r w:rsidRPr="00825F3D">
        <w:rPr>
          <w:sz w:val="24"/>
          <w:szCs w:val="24"/>
        </w:rPr>
        <w:t xml:space="preserve">all their entitlements, including where </w:t>
      </w:r>
      <w:r w:rsidR="005B2F9B">
        <w:rPr>
          <w:sz w:val="24"/>
          <w:szCs w:val="24"/>
        </w:rPr>
        <w:t xml:space="preserve">it may be </w:t>
      </w:r>
      <w:r w:rsidRPr="00825F3D">
        <w:rPr>
          <w:sz w:val="24"/>
          <w:szCs w:val="24"/>
        </w:rPr>
        <w:t>possibl</w:t>
      </w:r>
      <w:r w:rsidR="005B2F9B">
        <w:rPr>
          <w:sz w:val="24"/>
          <w:szCs w:val="24"/>
        </w:rPr>
        <w:t xml:space="preserve">e </w:t>
      </w:r>
      <w:r w:rsidRPr="00825F3D">
        <w:rPr>
          <w:sz w:val="24"/>
          <w:szCs w:val="24"/>
        </w:rPr>
        <w:t>to have certain extra costs reimbursed (e.g. those relating to disabilities or travel) or the possibility to benefit from a prior notification procedure in order to reduce the patients’ burden of having to pay upfront.</w:t>
      </w:r>
      <w:r w:rsidR="000530F2">
        <w:rPr>
          <w:sz w:val="24"/>
          <w:szCs w:val="24"/>
        </w:rPr>
        <w:t xml:space="preserve"> </w:t>
      </w:r>
      <w:r w:rsidR="000530F2" w:rsidRPr="000530F2">
        <w:rPr>
          <w:sz w:val="24"/>
          <w:szCs w:val="24"/>
        </w:rPr>
        <w:t xml:space="preserve">There is </w:t>
      </w:r>
      <w:r w:rsidR="005B2F9B">
        <w:rPr>
          <w:sz w:val="24"/>
          <w:szCs w:val="24"/>
        </w:rPr>
        <w:t xml:space="preserve">also </w:t>
      </w:r>
      <w:r w:rsidR="000530F2" w:rsidRPr="000530F2">
        <w:rPr>
          <w:sz w:val="24"/>
          <w:szCs w:val="24"/>
        </w:rPr>
        <w:t>a lack of clarity on the prices of medicines and costs of treatment</w:t>
      </w:r>
      <w:r w:rsidR="005B2F9B">
        <w:rPr>
          <w:sz w:val="24"/>
          <w:szCs w:val="24"/>
        </w:rPr>
        <w:t>,</w:t>
      </w:r>
      <w:r w:rsidR="000530F2" w:rsidRPr="000530F2">
        <w:rPr>
          <w:sz w:val="24"/>
          <w:szCs w:val="24"/>
        </w:rPr>
        <w:t xml:space="preserve"> and on reimbursement </w:t>
      </w:r>
      <w:r w:rsidR="005B2F9B">
        <w:rPr>
          <w:sz w:val="24"/>
          <w:szCs w:val="24"/>
        </w:rPr>
        <w:t xml:space="preserve">rates </w:t>
      </w:r>
      <w:r w:rsidR="000530F2" w:rsidRPr="000530F2">
        <w:rPr>
          <w:sz w:val="24"/>
          <w:szCs w:val="24"/>
        </w:rPr>
        <w:t xml:space="preserve">in the home country. </w:t>
      </w:r>
    </w:p>
    <w:p w:rsidR="00FB37E0" w:rsidRPr="00762199" w:rsidRDefault="00FB37E0" w:rsidP="00762199">
      <w:pPr>
        <w:pStyle w:val="Heading2"/>
        <w:spacing w:before="0" w:after="60"/>
        <w:rPr>
          <w:rFonts w:asciiTheme="minorHAnsi" w:hAnsiTheme="minorHAnsi"/>
          <w:i/>
          <w:sz w:val="24"/>
        </w:rPr>
      </w:pPr>
      <w:bookmarkStart w:id="6" w:name="_Toc442730502"/>
      <w:r w:rsidRPr="00762199">
        <w:rPr>
          <w:rFonts w:asciiTheme="minorHAnsi" w:hAnsiTheme="minorHAnsi"/>
          <w:i/>
          <w:sz w:val="24"/>
        </w:rPr>
        <w:t>Health inequalities</w:t>
      </w:r>
      <w:bookmarkEnd w:id="6"/>
      <w:r w:rsidRPr="00762199">
        <w:rPr>
          <w:rFonts w:asciiTheme="minorHAnsi" w:hAnsiTheme="minorHAnsi"/>
          <w:i/>
          <w:sz w:val="24"/>
        </w:rPr>
        <w:t xml:space="preserve"> </w:t>
      </w:r>
    </w:p>
    <w:p w:rsidR="00FB37E0" w:rsidRDefault="00FB37E0" w:rsidP="00FB37E0">
      <w:pPr>
        <w:spacing w:after="120"/>
        <w:jc w:val="both"/>
        <w:rPr>
          <w:sz w:val="24"/>
          <w:szCs w:val="24"/>
        </w:rPr>
      </w:pPr>
      <w:r w:rsidRPr="00825F3D">
        <w:rPr>
          <w:sz w:val="24"/>
          <w:szCs w:val="24"/>
        </w:rPr>
        <w:t xml:space="preserve">Feedback from patients indicates that </w:t>
      </w:r>
      <w:r>
        <w:rPr>
          <w:sz w:val="24"/>
          <w:szCs w:val="24"/>
        </w:rPr>
        <w:t xml:space="preserve">they find the </w:t>
      </w:r>
      <w:r w:rsidRPr="00825F3D">
        <w:rPr>
          <w:sz w:val="24"/>
          <w:szCs w:val="24"/>
        </w:rPr>
        <w:t>“home” health/social care system already difficult to navigat</w:t>
      </w:r>
      <w:r>
        <w:rPr>
          <w:sz w:val="24"/>
          <w:szCs w:val="24"/>
        </w:rPr>
        <w:t xml:space="preserve">e. </w:t>
      </w:r>
      <w:r w:rsidRPr="00825F3D">
        <w:rPr>
          <w:sz w:val="24"/>
          <w:szCs w:val="24"/>
        </w:rPr>
        <w:t>Many patients</w:t>
      </w:r>
      <w:r>
        <w:rPr>
          <w:sz w:val="24"/>
          <w:szCs w:val="24"/>
        </w:rPr>
        <w:t xml:space="preserve"> and families</w:t>
      </w:r>
      <w:r w:rsidRPr="00825F3D">
        <w:rPr>
          <w:sz w:val="24"/>
          <w:szCs w:val="24"/>
        </w:rPr>
        <w:t xml:space="preserve"> experience having to “fight the system” just to get information about their rights and access to the services they are entitled to. This is even more for problem for patients with low levels of health literacy or those in a marginalised </w:t>
      </w:r>
      <w:r>
        <w:rPr>
          <w:sz w:val="24"/>
          <w:szCs w:val="24"/>
        </w:rPr>
        <w:t xml:space="preserve">or vulnerable </w:t>
      </w:r>
      <w:r w:rsidRPr="00825F3D">
        <w:rPr>
          <w:sz w:val="24"/>
          <w:szCs w:val="24"/>
        </w:rPr>
        <w:t>situation</w:t>
      </w:r>
      <w:r>
        <w:rPr>
          <w:sz w:val="24"/>
          <w:szCs w:val="24"/>
        </w:rPr>
        <w:t>.</w:t>
      </w:r>
    </w:p>
    <w:p w:rsidR="00FB37E0" w:rsidRDefault="00FB37E0" w:rsidP="00FB37E0">
      <w:pPr>
        <w:spacing w:after="120"/>
        <w:jc w:val="both"/>
        <w:rPr>
          <w:sz w:val="24"/>
          <w:szCs w:val="24"/>
        </w:rPr>
      </w:pPr>
      <w:r>
        <w:rPr>
          <w:sz w:val="24"/>
          <w:szCs w:val="24"/>
        </w:rPr>
        <w:t xml:space="preserve">Our findings are in line with the special Eurobarometer of May 2015 which indicated that only about half of the respondents felt they are well-informed about the right to be reimbursed for healthcare </w:t>
      </w:r>
      <w:r w:rsidRPr="0030471A">
        <w:rPr>
          <w:i/>
          <w:sz w:val="24"/>
          <w:szCs w:val="24"/>
        </w:rPr>
        <w:t>in their own country</w:t>
      </w:r>
      <w:r>
        <w:rPr>
          <w:sz w:val="24"/>
          <w:szCs w:val="24"/>
        </w:rPr>
        <w:t xml:space="preserve">. </w:t>
      </w:r>
      <w:r w:rsidRPr="00825F3D">
        <w:rPr>
          <w:sz w:val="24"/>
          <w:szCs w:val="24"/>
        </w:rPr>
        <w:t xml:space="preserve">It is vitally important to improve the accessibility and navigability of the home health/social care system for everyone, not only </w:t>
      </w:r>
      <w:r>
        <w:rPr>
          <w:sz w:val="24"/>
          <w:szCs w:val="24"/>
        </w:rPr>
        <w:t>in</w:t>
      </w:r>
      <w:r w:rsidRPr="00825F3D">
        <w:rPr>
          <w:sz w:val="24"/>
          <w:szCs w:val="24"/>
        </w:rPr>
        <w:t xml:space="preserve"> the cross-border healthcare context</w:t>
      </w:r>
      <w:r>
        <w:rPr>
          <w:sz w:val="24"/>
          <w:szCs w:val="24"/>
        </w:rPr>
        <w:t>, to redress the existing health inequalities between and within countries.</w:t>
      </w:r>
    </w:p>
    <w:p w:rsidR="00FB37E0" w:rsidRDefault="00FB37E0" w:rsidP="00FB37E0">
      <w:pPr>
        <w:spacing w:after="120"/>
        <w:jc w:val="both"/>
        <w:rPr>
          <w:sz w:val="24"/>
          <w:szCs w:val="24"/>
        </w:rPr>
      </w:pPr>
      <w:r w:rsidRPr="009C7A6E">
        <w:rPr>
          <w:sz w:val="24"/>
          <w:szCs w:val="24"/>
        </w:rPr>
        <w:t>The transparency provisions</w:t>
      </w:r>
      <w:r>
        <w:rPr>
          <w:sz w:val="24"/>
          <w:szCs w:val="24"/>
        </w:rPr>
        <w:t xml:space="preserve"> of the directive</w:t>
      </w:r>
      <w:r w:rsidRPr="009C7A6E">
        <w:rPr>
          <w:sz w:val="24"/>
          <w:szCs w:val="24"/>
        </w:rPr>
        <w:t xml:space="preserve"> offer huge potential, not only to individual patients but also to patients’ organisations, empowering them as advocates for improvements in the provision of national as well as cross-border healthcare. </w:t>
      </w:r>
      <w:r>
        <w:rPr>
          <w:sz w:val="24"/>
          <w:szCs w:val="24"/>
        </w:rPr>
        <w:t>However, they need to be properly implemented and health literacy principles should be applied throughout.</w:t>
      </w:r>
      <w:r w:rsidR="003608D2" w:rsidRPr="003608D2">
        <w:rPr>
          <w:sz w:val="24"/>
          <w:szCs w:val="24"/>
        </w:rPr>
        <w:t xml:space="preserve"> </w:t>
      </w:r>
      <w:r w:rsidR="003608D2">
        <w:rPr>
          <w:sz w:val="24"/>
          <w:szCs w:val="24"/>
        </w:rPr>
        <w:t xml:space="preserve">Implementation needs to consider </w:t>
      </w:r>
      <w:r w:rsidR="003608D2" w:rsidRPr="00FB37E0">
        <w:rPr>
          <w:sz w:val="24"/>
          <w:szCs w:val="24"/>
        </w:rPr>
        <w:t xml:space="preserve">health and social inequalities </w:t>
      </w:r>
      <w:r w:rsidR="003608D2">
        <w:rPr>
          <w:sz w:val="24"/>
          <w:szCs w:val="24"/>
        </w:rPr>
        <w:t xml:space="preserve">in order to </w:t>
      </w:r>
      <w:r w:rsidR="003608D2" w:rsidRPr="00FB37E0">
        <w:rPr>
          <w:sz w:val="24"/>
          <w:szCs w:val="24"/>
        </w:rPr>
        <w:t>ensure that all people can benefit from better information about their rights and entitlements</w:t>
      </w:r>
      <w:r w:rsidR="003608D2">
        <w:rPr>
          <w:sz w:val="24"/>
          <w:szCs w:val="24"/>
        </w:rPr>
        <w:t xml:space="preserve">. </w:t>
      </w:r>
    </w:p>
    <w:p w:rsidR="003D04EF" w:rsidRPr="00762199" w:rsidRDefault="003D04EF" w:rsidP="003D04EF">
      <w:pPr>
        <w:pStyle w:val="Heading2"/>
        <w:spacing w:before="0" w:after="60"/>
        <w:rPr>
          <w:rFonts w:asciiTheme="minorHAnsi" w:hAnsiTheme="minorHAnsi"/>
          <w:i/>
          <w:sz w:val="24"/>
        </w:rPr>
      </w:pPr>
      <w:bookmarkStart w:id="7" w:name="_Toc442730503"/>
      <w:r w:rsidRPr="00762199">
        <w:rPr>
          <w:rFonts w:asciiTheme="minorHAnsi" w:hAnsiTheme="minorHAnsi"/>
          <w:i/>
          <w:sz w:val="24"/>
        </w:rPr>
        <w:t>The role of the National Contact Points</w:t>
      </w:r>
      <w:bookmarkEnd w:id="7"/>
      <w:r w:rsidRPr="00762199">
        <w:rPr>
          <w:rFonts w:asciiTheme="minorHAnsi" w:hAnsiTheme="minorHAnsi"/>
          <w:i/>
          <w:sz w:val="24"/>
        </w:rPr>
        <w:t xml:space="preserve"> </w:t>
      </w:r>
    </w:p>
    <w:p w:rsidR="003D04EF" w:rsidRDefault="003D04EF" w:rsidP="003D04EF">
      <w:pPr>
        <w:spacing w:after="120"/>
        <w:jc w:val="both"/>
        <w:rPr>
          <w:sz w:val="24"/>
          <w:szCs w:val="24"/>
        </w:rPr>
      </w:pPr>
      <w:r>
        <w:rPr>
          <w:sz w:val="24"/>
          <w:szCs w:val="24"/>
        </w:rPr>
        <w:t xml:space="preserve">National Contact Points (NCPs) </w:t>
      </w:r>
      <w:r w:rsidRPr="009C7A6E">
        <w:rPr>
          <w:sz w:val="24"/>
          <w:szCs w:val="24"/>
        </w:rPr>
        <w:t xml:space="preserve">play a critical role in providing information </w:t>
      </w:r>
      <w:r>
        <w:rPr>
          <w:sz w:val="24"/>
          <w:szCs w:val="24"/>
        </w:rPr>
        <w:t xml:space="preserve">and support for patients </w:t>
      </w:r>
      <w:r w:rsidRPr="009C7A6E">
        <w:rPr>
          <w:sz w:val="24"/>
          <w:szCs w:val="24"/>
        </w:rPr>
        <w:t>to make meaningful decisions, beginning with</w:t>
      </w:r>
      <w:r>
        <w:rPr>
          <w:sz w:val="24"/>
          <w:szCs w:val="24"/>
        </w:rPr>
        <w:t xml:space="preserve"> the decision on </w:t>
      </w:r>
      <w:r w:rsidRPr="009C7A6E">
        <w:rPr>
          <w:sz w:val="24"/>
          <w:szCs w:val="24"/>
        </w:rPr>
        <w:t xml:space="preserve">whether to seek treatment at home or abroad. </w:t>
      </w:r>
    </w:p>
    <w:p w:rsidR="003D04EF" w:rsidRDefault="003D04EF" w:rsidP="003D04EF">
      <w:pPr>
        <w:spacing w:after="120"/>
        <w:jc w:val="both"/>
        <w:rPr>
          <w:sz w:val="24"/>
          <w:szCs w:val="24"/>
        </w:rPr>
      </w:pPr>
      <w:r>
        <w:rPr>
          <w:sz w:val="24"/>
          <w:szCs w:val="24"/>
        </w:rPr>
        <w:t>Some Member States have established several NCPs; for example, the UK has separate regional contact points</w:t>
      </w:r>
      <w:r>
        <w:rPr>
          <w:rStyle w:val="FootnoteReference"/>
          <w:sz w:val="24"/>
          <w:szCs w:val="24"/>
        </w:rPr>
        <w:footnoteReference w:id="8"/>
      </w:r>
      <w:r>
        <w:rPr>
          <w:sz w:val="24"/>
          <w:szCs w:val="24"/>
        </w:rPr>
        <w:t xml:space="preserve"> and Sweden has different contact points for “incoming” and “out coming” patients.</w:t>
      </w:r>
      <w:r w:rsidRPr="00DE4C59">
        <w:rPr>
          <w:sz w:val="24"/>
          <w:szCs w:val="24"/>
        </w:rPr>
        <w:t xml:space="preserve"> </w:t>
      </w:r>
      <w:r>
        <w:rPr>
          <w:sz w:val="24"/>
          <w:szCs w:val="24"/>
        </w:rPr>
        <w:t xml:space="preserve">Therefore, there are a total of 32 NCPs across the EU. All of them have a </w:t>
      </w:r>
      <w:r>
        <w:rPr>
          <w:sz w:val="24"/>
          <w:szCs w:val="24"/>
        </w:rPr>
        <w:lastRenderedPageBreak/>
        <w:t xml:space="preserve">website, 28 of them have a telephone number, and 22 have an office address. All of them have an email or online contact form.   </w:t>
      </w:r>
    </w:p>
    <w:p w:rsidR="003D04EF" w:rsidRDefault="003D04EF" w:rsidP="003D04EF">
      <w:pPr>
        <w:spacing w:after="120"/>
        <w:jc w:val="both"/>
        <w:rPr>
          <w:sz w:val="24"/>
          <w:szCs w:val="24"/>
        </w:rPr>
      </w:pPr>
      <w:r>
        <w:rPr>
          <w:sz w:val="24"/>
          <w:szCs w:val="24"/>
        </w:rPr>
        <w:t>The special Eurobarometer indicated that</w:t>
      </w:r>
      <w:r w:rsidRPr="003F1D1B">
        <w:t xml:space="preserve"> </w:t>
      </w:r>
      <w:r>
        <w:rPr>
          <w:sz w:val="24"/>
          <w:szCs w:val="24"/>
        </w:rPr>
        <w:t xml:space="preserve">only </w:t>
      </w:r>
      <w:r w:rsidRPr="003F1D1B">
        <w:rPr>
          <w:sz w:val="24"/>
          <w:szCs w:val="24"/>
        </w:rPr>
        <w:t xml:space="preserve">one European in </w:t>
      </w:r>
      <w:r>
        <w:rPr>
          <w:sz w:val="24"/>
          <w:szCs w:val="24"/>
        </w:rPr>
        <w:t xml:space="preserve">10 is aware </w:t>
      </w:r>
      <w:r w:rsidRPr="003F1D1B">
        <w:rPr>
          <w:sz w:val="24"/>
          <w:szCs w:val="24"/>
        </w:rPr>
        <w:t xml:space="preserve">of the existence of </w:t>
      </w:r>
      <w:r>
        <w:rPr>
          <w:sz w:val="24"/>
          <w:szCs w:val="24"/>
        </w:rPr>
        <w:t>National Contact Point</w:t>
      </w:r>
      <w:r w:rsidRPr="003F1D1B">
        <w:rPr>
          <w:sz w:val="24"/>
          <w:szCs w:val="24"/>
        </w:rPr>
        <w:t>s</w:t>
      </w:r>
      <w:r>
        <w:rPr>
          <w:sz w:val="24"/>
          <w:szCs w:val="24"/>
        </w:rPr>
        <w:t>. This is in line with the findings of EPF’s regional and national events. (See also section on “information”, above.)</w:t>
      </w:r>
    </w:p>
    <w:p w:rsidR="003D04EF" w:rsidRPr="003F1D1B" w:rsidRDefault="003D04EF" w:rsidP="003D04EF">
      <w:pPr>
        <w:spacing w:after="120"/>
        <w:jc w:val="both"/>
        <w:rPr>
          <w:sz w:val="24"/>
          <w:szCs w:val="24"/>
        </w:rPr>
      </w:pPr>
      <w:r>
        <w:rPr>
          <w:sz w:val="24"/>
          <w:szCs w:val="24"/>
        </w:rPr>
        <w:t>In 2015 EPF developed a checklist for the “ideal NCP” based on feedback from our regional events. The checklist is available in the summary report and includes recommendations for information provision, accessibility, operational quality and fundamental principles.</w:t>
      </w:r>
      <w:r>
        <w:rPr>
          <w:rStyle w:val="FootnoteReference"/>
          <w:sz w:val="24"/>
          <w:szCs w:val="24"/>
        </w:rPr>
        <w:footnoteReference w:id="9"/>
      </w:r>
      <w:r>
        <w:rPr>
          <w:sz w:val="24"/>
          <w:szCs w:val="24"/>
        </w:rPr>
        <w:t xml:space="preserve"> </w:t>
      </w:r>
    </w:p>
    <w:p w:rsidR="003D04EF" w:rsidRDefault="003D04EF" w:rsidP="003D04EF">
      <w:pPr>
        <w:spacing w:after="120"/>
        <w:jc w:val="both"/>
        <w:rPr>
          <w:sz w:val="24"/>
          <w:szCs w:val="24"/>
        </w:rPr>
      </w:pPr>
      <w:r w:rsidRPr="009C7A6E">
        <w:rPr>
          <w:sz w:val="24"/>
          <w:szCs w:val="24"/>
        </w:rPr>
        <w:t>A very strong message from the EPF events is that the NCP should be a gateway rather than a gatekeeper in healthcare, “working with the patient, for the patient”</w:t>
      </w:r>
      <w:r w:rsidRPr="0017248B">
        <w:rPr>
          <w:sz w:val="24"/>
          <w:szCs w:val="24"/>
        </w:rPr>
        <w:t xml:space="preserve"> </w:t>
      </w:r>
      <w:r>
        <w:rPr>
          <w:sz w:val="24"/>
          <w:szCs w:val="24"/>
        </w:rPr>
        <w:t xml:space="preserve">and that it should be assessed independently for its performance even if it is integrated in the organisational structure of the national Ministry or a health insurance provider. </w:t>
      </w:r>
    </w:p>
    <w:p w:rsidR="003D04EF" w:rsidRDefault="003D04EF" w:rsidP="003D04EF">
      <w:pPr>
        <w:spacing w:after="120"/>
        <w:jc w:val="both"/>
        <w:rPr>
          <w:sz w:val="24"/>
          <w:szCs w:val="24"/>
        </w:rPr>
      </w:pPr>
      <w:r w:rsidRPr="001B5B5B">
        <w:rPr>
          <w:sz w:val="24"/>
          <w:szCs w:val="24"/>
        </w:rPr>
        <w:t xml:space="preserve">Building up a regular partnership </w:t>
      </w:r>
      <w:r>
        <w:rPr>
          <w:sz w:val="24"/>
          <w:szCs w:val="24"/>
        </w:rPr>
        <w:t xml:space="preserve">with patient organisations </w:t>
      </w:r>
      <w:r w:rsidRPr="001B5B5B">
        <w:rPr>
          <w:sz w:val="24"/>
          <w:szCs w:val="24"/>
        </w:rPr>
        <w:t>will be the key to ensuring that the</w:t>
      </w:r>
      <w:r>
        <w:rPr>
          <w:sz w:val="24"/>
          <w:szCs w:val="24"/>
        </w:rPr>
        <w:t xml:space="preserve"> services </w:t>
      </w:r>
      <w:r w:rsidRPr="001B5B5B">
        <w:rPr>
          <w:sz w:val="24"/>
          <w:szCs w:val="24"/>
        </w:rPr>
        <w:t>provided</w:t>
      </w:r>
      <w:r>
        <w:rPr>
          <w:sz w:val="24"/>
          <w:szCs w:val="24"/>
        </w:rPr>
        <w:t xml:space="preserve"> by NCPs </w:t>
      </w:r>
      <w:r w:rsidRPr="001B5B5B">
        <w:rPr>
          <w:sz w:val="24"/>
          <w:szCs w:val="24"/>
        </w:rPr>
        <w:t>the real-life needs of patients</w:t>
      </w:r>
      <w:r>
        <w:rPr>
          <w:sz w:val="24"/>
          <w:szCs w:val="24"/>
        </w:rPr>
        <w:t xml:space="preserve"> and that information is disseminated effectively to patient communities at local level</w:t>
      </w:r>
      <w:r w:rsidRPr="001B5B5B">
        <w:rPr>
          <w:sz w:val="24"/>
          <w:szCs w:val="24"/>
        </w:rPr>
        <w:t xml:space="preserve">. </w:t>
      </w:r>
      <w:r>
        <w:rPr>
          <w:sz w:val="24"/>
          <w:szCs w:val="24"/>
        </w:rPr>
        <w:t>See also section on “the role of patient organisations”, below.</w:t>
      </w:r>
    </w:p>
    <w:p w:rsidR="003D04EF" w:rsidRDefault="003D04EF" w:rsidP="003D04EF">
      <w:pPr>
        <w:spacing w:after="240"/>
        <w:jc w:val="both"/>
        <w:rPr>
          <w:sz w:val="24"/>
          <w:szCs w:val="24"/>
        </w:rPr>
      </w:pPr>
      <w:r>
        <w:rPr>
          <w:sz w:val="24"/>
          <w:szCs w:val="24"/>
        </w:rPr>
        <w:t>We are also aware from the feedback received by NCPs at EPF events that whilst some of them are very well resourced, many of them lack funds and staff. Clearly all NCPs cannot provide an optimal level of service if they do not have the resources to do so. More work is therefore needed to define the needs of NCPs to ensure more consistency in the quality of their work across the EU. This should be combined with the development of objective performance criteria for NCPs, developed together with patient organisations.</w:t>
      </w:r>
    </w:p>
    <w:p w:rsidR="002F190B" w:rsidRPr="003608D2" w:rsidRDefault="002F190B" w:rsidP="00825F3D">
      <w:pPr>
        <w:spacing w:after="120"/>
        <w:jc w:val="both"/>
        <w:rPr>
          <w:b/>
          <w:color w:val="1F497D" w:themeColor="text2"/>
          <w:sz w:val="24"/>
          <w:szCs w:val="24"/>
        </w:rPr>
      </w:pPr>
      <w:r w:rsidRPr="003608D2">
        <w:rPr>
          <w:b/>
          <w:color w:val="1F497D" w:themeColor="text2"/>
          <w:sz w:val="24"/>
          <w:szCs w:val="24"/>
        </w:rPr>
        <w:t>EPF recommendations:</w:t>
      </w:r>
    </w:p>
    <w:p w:rsidR="008E28C1" w:rsidRPr="00B804F9" w:rsidRDefault="008E28C1" w:rsidP="0097392A">
      <w:pPr>
        <w:pStyle w:val="ListParagraph"/>
        <w:numPr>
          <w:ilvl w:val="0"/>
          <w:numId w:val="9"/>
        </w:numPr>
        <w:spacing w:after="80"/>
        <w:ind w:left="425" w:hanging="357"/>
        <w:contextualSpacing w:val="0"/>
        <w:jc w:val="both"/>
        <w:rPr>
          <w:color w:val="1F497D" w:themeColor="text2"/>
          <w:sz w:val="24"/>
          <w:szCs w:val="24"/>
        </w:rPr>
      </w:pPr>
      <w:r w:rsidRPr="00B804F9">
        <w:rPr>
          <w:color w:val="1F497D" w:themeColor="text2"/>
          <w:sz w:val="24"/>
          <w:szCs w:val="24"/>
        </w:rPr>
        <w:t xml:space="preserve">The Commission should co-ordinate a process to develop </w:t>
      </w:r>
      <w:r w:rsidR="00307569" w:rsidRPr="00B804F9">
        <w:rPr>
          <w:color w:val="1F497D" w:themeColor="text2"/>
          <w:sz w:val="24"/>
          <w:szCs w:val="24"/>
        </w:rPr>
        <w:t>European</w:t>
      </w:r>
      <w:r w:rsidRPr="00B804F9">
        <w:rPr>
          <w:color w:val="1F497D" w:themeColor="text2"/>
          <w:sz w:val="24"/>
          <w:szCs w:val="24"/>
        </w:rPr>
        <w:t>-</w:t>
      </w:r>
      <w:r w:rsidR="00307569" w:rsidRPr="00B804F9">
        <w:rPr>
          <w:color w:val="1F497D" w:themeColor="text2"/>
          <w:sz w:val="24"/>
          <w:szCs w:val="24"/>
        </w:rPr>
        <w:t>level</w:t>
      </w:r>
      <w:r w:rsidRPr="00B804F9">
        <w:rPr>
          <w:color w:val="1F497D" w:themeColor="text2"/>
          <w:sz w:val="24"/>
          <w:szCs w:val="24"/>
        </w:rPr>
        <w:t xml:space="preserve"> guidelines on what </w:t>
      </w:r>
      <w:r w:rsidR="00A469A8" w:rsidRPr="00B804F9">
        <w:rPr>
          <w:i/>
          <w:color w:val="1F497D" w:themeColor="text2"/>
          <w:sz w:val="24"/>
          <w:szCs w:val="24"/>
        </w:rPr>
        <w:t xml:space="preserve">core elements of </w:t>
      </w:r>
      <w:r w:rsidR="00307569" w:rsidRPr="00B804F9">
        <w:rPr>
          <w:i/>
          <w:color w:val="1F497D" w:themeColor="text2"/>
          <w:sz w:val="24"/>
          <w:szCs w:val="24"/>
        </w:rPr>
        <w:t>information</w:t>
      </w:r>
      <w:r w:rsidR="00307569" w:rsidRPr="00B804F9">
        <w:rPr>
          <w:color w:val="1F497D" w:themeColor="text2"/>
          <w:sz w:val="24"/>
          <w:szCs w:val="24"/>
        </w:rPr>
        <w:t xml:space="preserve"> </w:t>
      </w:r>
      <w:r w:rsidRPr="00B804F9">
        <w:rPr>
          <w:color w:val="1F497D" w:themeColor="text2"/>
          <w:sz w:val="24"/>
          <w:szCs w:val="24"/>
        </w:rPr>
        <w:t xml:space="preserve">should be provided to </w:t>
      </w:r>
      <w:r w:rsidR="00307569" w:rsidRPr="00B804F9">
        <w:rPr>
          <w:color w:val="1F497D" w:themeColor="text2"/>
          <w:sz w:val="24"/>
          <w:szCs w:val="24"/>
        </w:rPr>
        <w:t xml:space="preserve">patients </w:t>
      </w:r>
      <w:r w:rsidRPr="00B804F9">
        <w:rPr>
          <w:color w:val="1F497D" w:themeColor="text2"/>
          <w:sz w:val="24"/>
          <w:szCs w:val="24"/>
        </w:rPr>
        <w:t xml:space="preserve">by NCPs and </w:t>
      </w:r>
      <w:r w:rsidR="00A469A8" w:rsidRPr="00B804F9">
        <w:rPr>
          <w:i/>
          <w:color w:val="1F497D" w:themeColor="text2"/>
          <w:sz w:val="24"/>
          <w:szCs w:val="24"/>
        </w:rPr>
        <w:t>recommendations on best practice, e.g. applying health literacy principles</w:t>
      </w:r>
      <w:r w:rsidRPr="00B804F9">
        <w:rPr>
          <w:color w:val="1F497D" w:themeColor="text2"/>
          <w:sz w:val="24"/>
          <w:szCs w:val="24"/>
        </w:rPr>
        <w:t xml:space="preserve">. This will ensure information is </w:t>
      </w:r>
      <w:r w:rsidR="00307569" w:rsidRPr="00B804F9">
        <w:rPr>
          <w:color w:val="1F497D" w:themeColor="text2"/>
          <w:sz w:val="24"/>
          <w:szCs w:val="24"/>
        </w:rPr>
        <w:t xml:space="preserve">meets </w:t>
      </w:r>
      <w:r w:rsidRPr="00B804F9">
        <w:rPr>
          <w:color w:val="1F497D" w:themeColor="text2"/>
          <w:sz w:val="24"/>
          <w:szCs w:val="24"/>
        </w:rPr>
        <w:t xml:space="preserve">patients’ </w:t>
      </w:r>
      <w:r w:rsidR="00307569" w:rsidRPr="00B804F9">
        <w:rPr>
          <w:color w:val="1F497D" w:themeColor="text2"/>
          <w:sz w:val="24"/>
          <w:szCs w:val="24"/>
        </w:rPr>
        <w:t>information needs, is understandable</w:t>
      </w:r>
      <w:r w:rsidRPr="00B804F9">
        <w:rPr>
          <w:color w:val="1F497D" w:themeColor="text2"/>
          <w:sz w:val="24"/>
          <w:szCs w:val="24"/>
        </w:rPr>
        <w:t>, accessible and of high quality</w:t>
      </w:r>
      <w:r w:rsidR="00307569" w:rsidRPr="00B804F9">
        <w:rPr>
          <w:color w:val="1F497D" w:themeColor="text2"/>
          <w:sz w:val="24"/>
          <w:szCs w:val="24"/>
        </w:rPr>
        <w:t xml:space="preserve">. </w:t>
      </w:r>
      <w:r w:rsidRPr="00B804F9">
        <w:rPr>
          <w:color w:val="1F497D" w:themeColor="text2"/>
          <w:sz w:val="24"/>
          <w:szCs w:val="24"/>
        </w:rPr>
        <w:t xml:space="preserve">The </w:t>
      </w:r>
      <w:r w:rsidR="00307569" w:rsidRPr="00B804F9">
        <w:rPr>
          <w:color w:val="1F497D" w:themeColor="text2"/>
          <w:sz w:val="24"/>
          <w:szCs w:val="24"/>
        </w:rPr>
        <w:t xml:space="preserve">guidelines should be developed in consultation with patient organisations and they should be applied in all </w:t>
      </w:r>
      <w:r w:rsidR="00FD3C5D" w:rsidRPr="00B804F9">
        <w:rPr>
          <w:color w:val="1F497D" w:themeColor="text2"/>
          <w:sz w:val="24"/>
          <w:szCs w:val="24"/>
        </w:rPr>
        <w:t>Member State</w:t>
      </w:r>
      <w:r w:rsidR="00307569" w:rsidRPr="00B804F9">
        <w:rPr>
          <w:color w:val="1F497D" w:themeColor="text2"/>
          <w:sz w:val="24"/>
          <w:szCs w:val="24"/>
        </w:rPr>
        <w:t xml:space="preserve">s. </w:t>
      </w:r>
    </w:p>
    <w:p w:rsidR="00A469A8" w:rsidRPr="00B804F9" w:rsidRDefault="00A469A8" w:rsidP="0097392A">
      <w:pPr>
        <w:pStyle w:val="ListParagraph"/>
        <w:numPr>
          <w:ilvl w:val="0"/>
          <w:numId w:val="9"/>
        </w:numPr>
        <w:spacing w:after="80"/>
        <w:ind w:left="425" w:hanging="357"/>
        <w:contextualSpacing w:val="0"/>
        <w:jc w:val="both"/>
        <w:rPr>
          <w:color w:val="1F497D" w:themeColor="text2"/>
          <w:sz w:val="24"/>
          <w:szCs w:val="24"/>
        </w:rPr>
      </w:pPr>
      <w:r w:rsidRPr="00B804F9">
        <w:rPr>
          <w:i/>
          <w:color w:val="1F497D" w:themeColor="text2"/>
          <w:sz w:val="24"/>
          <w:szCs w:val="24"/>
        </w:rPr>
        <w:t>Standardised templates</w:t>
      </w:r>
      <w:r w:rsidRPr="00B804F9">
        <w:rPr>
          <w:color w:val="1F497D" w:themeColor="text2"/>
          <w:sz w:val="24"/>
          <w:szCs w:val="24"/>
        </w:rPr>
        <w:t xml:space="preserve"> should be developed across the EU for all application forms used by NCPs, with patient organisations to ensure they are user-focused.</w:t>
      </w:r>
    </w:p>
    <w:p w:rsidR="00A469A8" w:rsidRPr="00B804F9" w:rsidRDefault="003608D2" w:rsidP="0097392A">
      <w:pPr>
        <w:pStyle w:val="ListParagraph"/>
        <w:numPr>
          <w:ilvl w:val="0"/>
          <w:numId w:val="9"/>
        </w:numPr>
        <w:spacing w:after="80"/>
        <w:ind w:left="425" w:hanging="357"/>
        <w:contextualSpacing w:val="0"/>
        <w:jc w:val="both"/>
        <w:rPr>
          <w:color w:val="1F497D" w:themeColor="text2"/>
          <w:sz w:val="24"/>
          <w:szCs w:val="24"/>
        </w:rPr>
      </w:pPr>
      <w:r w:rsidRPr="00B804F9">
        <w:rPr>
          <w:color w:val="1F497D" w:themeColor="text2"/>
          <w:sz w:val="24"/>
          <w:szCs w:val="24"/>
        </w:rPr>
        <w:t xml:space="preserve">NCPs must have the capacity to clearly communicate to patients the total cost and other implications of different options in a way that enables patients to compare and arrive at </w:t>
      </w:r>
      <w:r w:rsidRPr="00B804F9">
        <w:rPr>
          <w:color w:val="1F497D" w:themeColor="text2"/>
          <w:sz w:val="24"/>
          <w:szCs w:val="24"/>
        </w:rPr>
        <w:lastRenderedPageBreak/>
        <w:t>a meaningful decision</w:t>
      </w:r>
      <w:r w:rsidR="00BC091E" w:rsidRPr="00B804F9">
        <w:rPr>
          <w:color w:val="1F497D" w:themeColor="text2"/>
          <w:sz w:val="24"/>
          <w:szCs w:val="24"/>
        </w:rPr>
        <w:t xml:space="preserve"> – including which rights and entitlements they have under the Directive or under the Regulations</w:t>
      </w:r>
      <w:r w:rsidRPr="00B804F9">
        <w:rPr>
          <w:color w:val="1F497D" w:themeColor="text2"/>
          <w:sz w:val="24"/>
          <w:szCs w:val="24"/>
        </w:rPr>
        <w:t xml:space="preserve">. </w:t>
      </w:r>
      <w:r w:rsidR="00A469A8" w:rsidRPr="00B804F9">
        <w:rPr>
          <w:color w:val="1F497D" w:themeColor="text2"/>
          <w:sz w:val="24"/>
          <w:szCs w:val="24"/>
        </w:rPr>
        <w:t>Member States must ensure the consistency of information from different sources, such as the NCP and insurance providers.</w:t>
      </w:r>
    </w:p>
    <w:p w:rsidR="00FB37E0" w:rsidRPr="00B804F9" w:rsidRDefault="0022168A" w:rsidP="0097392A">
      <w:pPr>
        <w:pStyle w:val="ListParagraph"/>
        <w:numPr>
          <w:ilvl w:val="0"/>
          <w:numId w:val="9"/>
        </w:numPr>
        <w:spacing w:after="80"/>
        <w:ind w:left="425" w:hanging="357"/>
        <w:contextualSpacing w:val="0"/>
        <w:jc w:val="both"/>
        <w:rPr>
          <w:color w:val="1F497D" w:themeColor="text2"/>
          <w:sz w:val="24"/>
          <w:szCs w:val="24"/>
        </w:rPr>
      </w:pPr>
      <w:r w:rsidRPr="00B804F9">
        <w:rPr>
          <w:color w:val="1F497D" w:themeColor="text2"/>
          <w:sz w:val="24"/>
          <w:szCs w:val="24"/>
        </w:rPr>
        <w:t xml:space="preserve">Cross-linkages should be ensured to existing information, for example national and EU portals </w:t>
      </w:r>
      <w:r w:rsidR="008E28C1" w:rsidRPr="00B804F9">
        <w:rPr>
          <w:color w:val="1F497D" w:themeColor="text2"/>
          <w:sz w:val="24"/>
          <w:szCs w:val="24"/>
        </w:rPr>
        <w:t>on medicines,</w:t>
      </w:r>
      <w:r w:rsidR="00307569" w:rsidRPr="00B804F9">
        <w:rPr>
          <w:color w:val="1F497D" w:themeColor="text2"/>
          <w:sz w:val="24"/>
          <w:szCs w:val="24"/>
        </w:rPr>
        <w:t xml:space="preserve"> </w:t>
      </w:r>
      <w:r w:rsidR="008E28C1" w:rsidRPr="00B804F9">
        <w:rPr>
          <w:color w:val="1F497D" w:themeColor="text2"/>
          <w:sz w:val="24"/>
          <w:szCs w:val="24"/>
        </w:rPr>
        <w:t>devices and clinical trials</w:t>
      </w:r>
      <w:r w:rsidR="00307569" w:rsidRPr="00B804F9">
        <w:rPr>
          <w:color w:val="1F497D" w:themeColor="text2"/>
          <w:sz w:val="24"/>
          <w:szCs w:val="24"/>
        </w:rPr>
        <w:t>.</w:t>
      </w:r>
      <w:r w:rsidR="008E28C1" w:rsidRPr="00B804F9">
        <w:rPr>
          <w:color w:val="1F497D" w:themeColor="text2"/>
          <w:sz w:val="24"/>
          <w:szCs w:val="24"/>
        </w:rPr>
        <w:t xml:space="preserve"> The user-friendliness </w:t>
      </w:r>
      <w:r w:rsidR="003608D2" w:rsidRPr="00B804F9">
        <w:rPr>
          <w:color w:val="1F497D" w:themeColor="text2"/>
          <w:sz w:val="24"/>
          <w:szCs w:val="24"/>
        </w:rPr>
        <w:t xml:space="preserve">and accessibility </w:t>
      </w:r>
      <w:r w:rsidR="008E28C1" w:rsidRPr="00B804F9">
        <w:rPr>
          <w:color w:val="1F497D" w:themeColor="text2"/>
          <w:sz w:val="24"/>
          <w:szCs w:val="24"/>
        </w:rPr>
        <w:t xml:space="preserve">of these portals should be </w:t>
      </w:r>
      <w:r w:rsidR="003608D2" w:rsidRPr="00B804F9">
        <w:rPr>
          <w:color w:val="1F497D" w:themeColor="text2"/>
          <w:sz w:val="24"/>
          <w:szCs w:val="24"/>
        </w:rPr>
        <w:t>improved</w:t>
      </w:r>
      <w:r w:rsidR="008E28C1" w:rsidRPr="00B804F9">
        <w:rPr>
          <w:color w:val="1F497D" w:themeColor="text2"/>
          <w:sz w:val="24"/>
          <w:szCs w:val="24"/>
        </w:rPr>
        <w:t>.</w:t>
      </w:r>
    </w:p>
    <w:p w:rsidR="00307569" w:rsidRPr="00B804F9" w:rsidRDefault="00487F48" w:rsidP="0097392A">
      <w:pPr>
        <w:pStyle w:val="ListParagraph"/>
        <w:numPr>
          <w:ilvl w:val="0"/>
          <w:numId w:val="9"/>
        </w:numPr>
        <w:spacing w:after="80"/>
        <w:ind w:left="425" w:hanging="357"/>
        <w:contextualSpacing w:val="0"/>
        <w:jc w:val="both"/>
        <w:rPr>
          <w:color w:val="1F497D" w:themeColor="text2"/>
          <w:sz w:val="24"/>
          <w:szCs w:val="24"/>
        </w:rPr>
      </w:pPr>
      <w:r w:rsidRPr="00B804F9">
        <w:rPr>
          <w:color w:val="1F497D" w:themeColor="text2"/>
          <w:sz w:val="24"/>
          <w:szCs w:val="24"/>
        </w:rPr>
        <w:t>NCPs</w:t>
      </w:r>
      <w:r w:rsidR="00307569" w:rsidRPr="00B804F9">
        <w:rPr>
          <w:color w:val="1F497D" w:themeColor="text2"/>
          <w:sz w:val="24"/>
          <w:szCs w:val="24"/>
        </w:rPr>
        <w:t xml:space="preserve"> should engage with patient </w:t>
      </w:r>
      <w:r w:rsidR="003608D2" w:rsidRPr="00B804F9">
        <w:rPr>
          <w:color w:val="1F497D" w:themeColor="text2"/>
          <w:sz w:val="24"/>
          <w:szCs w:val="24"/>
        </w:rPr>
        <w:t xml:space="preserve">organisations on a regular basis, such as annually, </w:t>
      </w:r>
      <w:r w:rsidR="00307569" w:rsidRPr="00B804F9">
        <w:rPr>
          <w:color w:val="1F497D" w:themeColor="text2"/>
          <w:sz w:val="24"/>
          <w:szCs w:val="24"/>
        </w:rPr>
        <w:t xml:space="preserve">to review the situation and plan </w:t>
      </w:r>
      <w:r w:rsidR="001B5B5B" w:rsidRPr="00B804F9">
        <w:rPr>
          <w:color w:val="1F497D" w:themeColor="text2"/>
          <w:sz w:val="24"/>
          <w:szCs w:val="24"/>
        </w:rPr>
        <w:t xml:space="preserve">joint work </w:t>
      </w:r>
      <w:r w:rsidR="00307569" w:rsidRPr="00B804F9">
        <w:rPr>
          <w:color w:val="1F497D" w:themeColor="text2"/>
          <w:sz w:val="24"/>
          <w:szCs w:val="24"/>
        </w:rPr>
        <w:t>to resolve practical issues arising from the implementation of the Directive.</w:t>
      </w:r>
      <w:r w:rsidR="003D04EF" w:rsidRPr="00B804F9">
        <w:rPr>
          <w:color w:val="1F497D" w:themeColor="text2"/>
          <w:sz w:val="24"/>
          <w:szCs w:val="24"/>
        </w:rPr>
        <w:t xml:space="preserve"> NCPs should specifically involve patients in developing and reviewing the information they provide.</w:t>
      </w:r>
    </w:p>
    <w:p w:rsidR="00487F48" w:rsidRPr="00B804F9" w:rsidRDefault="00307569" w:rsidP="0097392A">
      <w:pPr>
        <w:pStyle w:val="ListParagraph"/>
        <w:numPr>
          <w:ilvl w:val="0"/>
          <w:numId w:val="9"/>
        </w:numPr>
        <w:spacing w:after="80"/>
        <w:ind w:left="425" w:hanging="357"/>
        <w:contextualSpacing w:val="0"/>
        <w:jc w:val="both"/>
        <w:rPr>
          <w:color w:val="1F497D" w:themeColor="text2"/>
          <w:sz w:val="24"/>
          <w:szCs w:val="24"/>
        </w:rPr>
      </w:pPr>
      <w:r w:rsidRPr="00B804F9">
        <w:rPr>
          <w:color w:val="1F497D" w:themeColor="text2"/>
          <w:sz w:val="24"/>
          <w:szCs w:val="24"/>
        </w:rPr>
        <w:t xml:space="preserve">Patients should be involved in the governance of </w:t>
      </w:r>
      <w:r w:rsidR="00FD3C5D" w:rsidRPr="00B804F9">
        <w:rPr>
          <w:color w:val="1F497D" w:themeColor="text2"/>
          <w:sz w:val="24"/>
          <w:szCs w:val="24"/>
        </w:rPr>
        <w:t>National Contact Point</w:t>
      </w:r>
      <w:r w:rsidRPr="00B804F9">
        <w:rPr>
          <w:color w:val="1F497D" w:themeColor="text2"/>
          <w:sz w:val="24"/>
          <w:szCs w:val="24"/>
        </w:rPr>
        <w:t xml:space="preserve">s. </w:t>
      </w:r>
    </w:p>
    <w:p w:rsidR="00307569" w:rsidRPr="00B804F9" w:rsidRDefault="00487F48" w:rsidP="0097392A">
      <w:pPr>
        <w:pStyle w:val="ListParagraph"/>
        <w:numPr>
          <w:ilvl w:val="0"/>
          <w:numId w:val="9"/>
        </w:numPr>
        <w:spacing w:after="80"/>
        <w:ind w:left="425" w:hanging="357"/>
        <w:contextualSpacing w:val="0"/>
        <w:jc w:val="both"/>
        <w:rPr>
          <w:color w:val="1F497D" w:themeColor="text2"/>
          <w:sz w:val="24"/>
          <w:szCs w:val="24"/>
        </w:rPr>
      </w:pPr>
      <w:r w:rsidRPr="00B804F9">
        <w:rPr>
          <w:color w:val="1F497D" w:themeColor="text2"/>
          <w:sz w:val="24"/>
          <w:szCs w:val="24"/>
        </w:rPr>
        <w:t xml:space="preserve">NCPs should be independently assessed using a set of </w:t>
      </w:r>
      <w:r w:rsidR="00307569" w:rsidRPr="00B804F9">
        <w:rPr>
          <w:color w:val="1F497D" w:themeColor="text2"/>
          <w:sz w:val="24"/>
          <w:szCs w:val="24"/>
        </w:rPr>
        <w:t xml:space="preserve">objective performance criteria. </w:t>
      </w:r>
      <w:r w:rsidR="001B5B5B" w:rsidRPr="00B804F9">
        <w:rPr>
          <w:color w:val="1F497D" w:themeColor="text2"/>
          <w:sz w:val="24"/>
          <w:szCs w:val="24"/>
        </w:rPr>
        <w:t>The EPF “checklist” can provide a basis for development of a set of performance criteria for NCPs</w:t>
      </w:r>
      <w:r w:rsidRPr="00B804F9">
        <w:rPr>
          <w:color w:val="1F497D" w:themeColor="text2"/>
          <w:sz w:val="24"/>
          <w:szCs w:val="24"/>
        </w:rPr>
        <w:t xml:space="preserve"> at European level</w:t>
      </w:r>
      <w:r w:rsidR="001B5B5B" w:rsidRPr="00B804F9">
        <w:rPr>
          <w:color w:val="1F497D" w:themeColor="text2"/>
          <w:sz w:val="24"/>
          <w:szCs w:val="24"/>
        </w:rPr>
        <w:t>.</w:t>
      </w:r>
    </w:p>
    <w:p w:rsidR="003D04EF" w:rsidRPr="00B804F9" w:rsidRDefault="003D04EF" w:rsidP="003D04EF">
      <w:pPr>
        <w:pStyle w:val="ListParagraph"/>
        <w:numPr>
          <w:ilvl w:val="0"/>
          <w:numId w:val="9"/>
        </w:numPr>
        <w:spacing w:after="120"/>
        <w:ind w:left="426"/>
        <w:jc w:val="both"/>
        <w:rPr>
          <w:color w:val="1F497D" w:themeColor="text2"/>
          <w:sz w:val="24"/>
          <w:szCs w:val="24"/>
        </w:rPr>
      </w:pPr>
      <w:r w:rsidRPr="00B804F9">
        <w:rPr>
          <w:color w:val="1F497D" w:themeColor="text2"/>
          <w:sz w:val="24"/>
          <w:szCs w:val="24"/>
        </w:rPr>
        <w:t xml:space="preserve">Dedicated funding should be made available to </w:t>
      </w:r>
      <w:r w:rsidR="00487F48" w:rsidRPr="00B804F9">
        <w:rPr>
          <w:color w:val="1F497D" w:themeColor="text2"/>
          <w:sz w:val="24"/>
          <w:szCs w:val="24"/>
        </w:rPr>
        <w:t>ensure</w:t>
      </w:r>
      <w:r w:rsidRPr="00B804F9">
        <w:rPr>
          <w:color w:val="1F497D" w:themeColor="text2"/>
          <w:sz w:val="24"/>
          <w:szCs w:val="24"/>
        </w:rPr>
        <w:t xml:space="preserve"> the </w:t>
      </w:r>
      <w:r w:rsidR="00487F48" w:rsidRPr="00B804F9">
        <w:rPr>
          <w:color w:val="1F497D" w:themeColor="text2"/>
          <w:sz w:val="24"/>
          <w:szCs w:val="24"/>
        </w:rPr>
        <w:t xml:space="preserve">effective </w:t>
      </w:r>
      <w:r w:rsidRPr="00B804F9">
        <w:rPr>
          <w:color w:val="1F497D" w:themeColor="text2"/>
          <w:sz w:val="24"/>
          <w:szCs w:val="24"/>
        </w:rPr>
        <w:t>functioning of NCPs from EU as well as Member State funds, particularly in resource-poor Member States.</w:t>
      </w:r>
    </w:p>
    <w:p w:rsidR="003054B4" w:rsidRPr="009E1E53" w:rsidRDefault="003054B4" w:rsidP="003054B4">
      <w:pPr>
        <w:spacing w:after="0" w:line="240" w:lineRule="auto"/>
        <w:jc w:val="both"/>
        <w:rPr>
          <w:rFonts w:ascii="Calibri" w:eastAsia="Calibri" w:hAnsi="Calibri" w:cs="Times New Roman"/>
          <w:sz w:val="24"/>
          <w:szCs w:val="24"/>
        </w:rPr>
      </w:pPr>
    </w:p>
    <w:p w:rsidR="003C6C96" w:rsidRPr="005627AC" w:rsidRDefault="003C6C96" w:rsidP="00120B19">
      <w:pPr>
        <w:pStyle w:val="Heading1"/>
        <w:numPr>
          <w:ilvl w:val="1"/>
          <w:numId w:val="1"/>
        </w:numPr>
        <w:spacing w:before="0" w:after="120" w:line="240" w:lineRule="auto"/>
        <w:rPr>
          <w:b/>
          <w:color w:val="17365D" w:themeColor="text2" w:themeShade="BF"/>
          <w:sz w:val="28"/>
          <w:szCs w:val="24"/>
        </w:rPr>
      </w:pPr>
      <w:bookmarkStart w:id="8" w:name="_Toc442730504"/>
      <w:r w:rsidRPr="005627AC">
        <w:rPr>
          <w:b/>
          <w:color w:val="17365D" w:themeColor="text2" w:themeShade="BF"/>
          <w:sz w:val="28"/>
          <w:szCs w:val="24"/>
        </w:rPr>
        <w:t>Equity of Access</w:t>
      </w:r>
      <w:bookmarkEnd w:id="8"/>
      <w:r w:rsidRPr="005627AC">
        <w:rPr>
          <w:b/>
          <w:color w:val="17365D" w:themeColor="text2" w:themeShade="BF"/>
          <w:sz w:val="28"/>
          <w:szCs w:val="24"/>
        </w:rPr>
        <w:t xml:space="preserve"> </w:t>
      </w:r>
    </w:p>
    <w:p w:rsidR="0052168D" w:rsidRPr="002F0838" w:rsidRDefault="004F2166" w:rsidP="002F0838">
      <w:pPr>
        <w:spacing w:after="120"/>
        <w:jc w:val="both"/>
        <w:rPr>
          <w:sz w:val="24"/>
          <w:szCs w:val="24"/>
        </w:rPr>
      </w:pPr>
      <w:r>
        <w:rPr>
          <w:sz w:val="24"/>
          <w:szCs w:val="24"/>
        </w:rPr>
        <w:t xml:space="preserve">All </w:t>
      </w:r>
      <w:r w:rsidR="0052168D" w:rsidRPr="002F0838">
        <w:rPr>
          <w:sz w:val="24"/>
          <w:szCs w:val="24"/>
        </w:rPr>
        <w:t xml:space="preserve">patients in Europe should have the right to obtain safe, high-quality healthcare, whether in their own country or abroad. Their access to such care should be based on need rather than means, in accordance with the fundamental values of solidarity, equity and </w:t>
      </w:r>
      <w:r>
        <w:rPr>
          <w:sz w:val="24"/>
          <w:szCs w:val="24"/>
        </w:rPr>
        <w:t>universality</w:t>
      </w:r>
      <w:r w:rsidR="0052168D" w:rsidRPr="002F0838">
        <w:rPr>
          <w:sz w:val="24"/>
          <w:szCs w:val="24"/>
        </w:rPr>
        <w:t xml:space="preserve">. </w:t>
      </w:r>
    </w:p>
    <w:p w:rsidR="00B33C63" w:rsidRPr="002F0838" w:rsidRDefault="00B33C63" w:rsidP="00B33C63">
      <w:pPr>
        <w:spacing w:after="120"/>
        <w:jc w:val="both"/>
        <w:rPr>
          <w:sz w:val="24"/>
          <w:szCs w:val="24"/>
        </w:rPr>
      </w:pPr>
      <w:r w:rsidRPr="002F0838">
        <w:rPr>
          <w:sz w:val="24"/>
          <w:szCs w:val="24"/>
        </w:rPr>
        <w:t>Timely diagnosis and prompt treatment</w:t>
      </w:r>
      <w:r>
        <w:rPr>
          <w:sz w:val="24"/>
          <w:szCs w:val="24"/>
        </w:rPr>
        <w:t xml:space="preserve"> are </w:t>
      </w:r>
      <w:r w:rsidRPr="002F0838">
        <w:rPr>
          <w:sz w:val="24"/>
          <w:szCs w:val="24"/>
        </w:rPr>
        <w:t xml:space="preserve">crucial to avoid complications of diseases and consequently increased healthcare costs, both for patients and the health system. </w:t>
      </w:r>
      <w:r>
        <w:rPr>
          <w:sz w:val="24"/>
          <w:szCs w:val="24"/>
        </w:rPr>
        <w:t>Costs of care, both direct and indirect, contribute to the financial burden borne by patients and their families.</w:t>
      </w:r>
      <w:r>
        <w:rPr>
          <w:rStyle w:val="FootnoteReference"/>
          <w:sz w:val="24"/>
          <w:szCs w:val="24"/>
        </w:rPr>
        <w:footnoteReference w:id="10"/>
      </w:r>
      <w:r>
        <w:rPr>
          <w:sz w:val="24"/>
          <w:szCs w:val="24"/>
        </w:rPr>
        <w:t xml:space="preserve"> </w:t>
      </w:r>
    </w:p>
    <w:p w:rsidR="00B33C63" w:rsidRDefault="00B33C63" w:rsidP="00B33C63">
      <w:pPr>
        <w:spacing w:after="120"/>
        <w:jc w:val="both"/>
        <w:rPr>
          <w:sz w:val="24"/>
          <w:szCs w:val="24"/>
        </w:rPr>
      </w:pPr>
      <w:r w:rsidRPr="002F0838">
        <w:rPr>
          <w:sz w:val="24"/>
          <w:szCs w:val="24"/>
        </w:rPr>
        <w:t xml:space="preserve">The Directive has potential to improve access, but </w:t>
      </w:r>
      <w:r>
        <w:rPr>
          <w:sz w:val="24"/>
          <w:szCs w:val="24"/>
        </w:rPr>
        <w:t xml:space="preserve">it </w:t>
      </w:r>
      <w:r w:rsidRPr="002F0838">
        <w:rPr>
          <w:sz w:val="24"/>
          <w:szCs w:val="24"/>
        </w:rPr>
        <w:t xml:space="preserve">contains several </w:t>
      </w:r>
      <w:r>
        <w:rPr>
          <w:sz w:val="24"/>
          <w:szCs w:val="24"/>
        </w:rPr>
        <w:t xml:space="preserve">gaps and </w:t>
      </w:r>
      <w:r w:rsidRPr="002F0838">
        <w:rPr>
          <w:sz w:val="24"/>
          <w:szCs w:val="24"/>
        </w:rPr>
        <w:t>uncertaint</w:t>
      </w:r>
      <w:r>
        <w:rPr>
          <w:sz w:val="24"/>
          <w:szCs w:val="24"/>
        </w:rPr>
        <w:t>ies</w:t>
      </w:r>
      <w:r w:rsidRPr="002F0838">
        <w:rPr>
          <w:sz w:val="24"/>
          <w:szCs w:val="24"/>
        </w:rPr>
        <w:t xml:space="preserve">. Unless those areas are addressed, it may even have the unintended effect of exacerbating the existing health and socio-economic inequalities </w:t>
      </w:r>
      <w:r>
        <w:rPr>
          <w:sz w:val="24"/>
          <w:szCs w:val="24"/>
        </w:rPr>
        <w:t>across the EU</w:t>
      </w:r>
      <w:r w:rsidRPr="002F0838">
        <w:rPr>
          <w:sz w:val="24"/>
          <w:szCs w:val="24"/>
        </w:rPr>
        <w:t>.</w:t>
      </w:r>
    </w:p>
    <w:p w:rsidR="00B33C63" w:rsidRPr="002F0838" w:rsidRDefault="00B33C63" w:rsidP="00B33C63">
      <w:pPr>
        <w:spacing w:after="120"/>
        <w:jc w:val="both"/>
        <w:rPr>
          <w:sz w:val="24"/>
          <w:szCs w:val="24"/>
        </w:rPr>
      </w:pPr>
      <w:r w:rsidRPr="002F0838">
        <w:rPr>
          <w:sz w:val="24"/>
          <w:szCs w:val="24"/>
        </w:rPr>
        <w:t xml:space="preserve">If the </w:t>
      </w:r>
      <w:r w:rsidRPr="003D2671">
        <w:rPr>
          <w:sz w:val="24"/>
          <w:szCs w:val="24"/>
        </w:rPr>
        <w:t>rate of reimbursement</w:t>
      </w:r>
      <w:r w:rsidRPr="002F0838">
        <w:rPr>
          <w:sz w:val="24"/>
          <w:szCs w:val="24"/>
        </w:rPr>
        <w:t xml:space="preserve"> is lower than the actual cost of the treatment, the patient may not be able to afford to cover the difference. This applies particularly to patients from poorer countries who will not be able to afford treatment across the border where the cost is higher. Conversely, it may result in “health tourism” from wealthier countries, with private healthcare providers marketing themselves to patients from abroad. This should be closely monitored.</w:t>
      </w:r>
    </w:p>
    <w:p w:rsidR="00B33C63" w:rsidRDefault="00B33C63" w:rsidP="00B33C63">
      <w:pPr>
        <w:spacing w:after="120"/>
        <w:jc w:val="both"/>
        <w:rPr>
          <w:sz w:val="24"/>
          <w:szCs w:val="24"/>
        </w:rPr>
      </w:pPr>
      <w:r>
        <w:rPr>
          <w:sz w:val="24"/>
          <w:szCs w:val="24"/>
        </w:rPr>
        <w:lastRenderedPageBreak/>
        <w:t>Increasing transparency around access, including what healthcare is covered in the “benefits basket” in different Member States, will lead to a greater awareness of gaps and inequalities. This could be an opportunity to push for improved access and quality of care. A patient at one of EPF events said: “we intend to examine our basket of benefits and compared with other countries to identify what our patients need, and we will push the authorities to address any important gaps.”</w:t>
      </w:r>
    </w:p>
    <w:p w:rsidR="00B33C63" w:rsidRDefault="00B33C63" w:rsidP="00B33C63">
      <w:pPr>
        <w:spacing w:after="240"/>
        <w:jc w:val="both"/>
        <w:rPr>
          <w:sz w:val="24"/>
          <w:szCs w:val="24"/>
        </w:rPr>
      </w:pPr>
      <w:r>
        <w:rPr>
          <w:sz w:val="24"/>
          <w:szCs w:val="24"/>
        </w:rPr>
        <w:t xml:space="preserve">Below, we will examine three specific areas in the directive: prior authorisation, upfront payment and reimbursement. </w:t>
      </w:r>
    </w:p>
    <w:p w:rsidR="00B33C63" w:rsidRPr="00762199" w:rsidRDefault="00B33C63" w:rsidP="00B33C63">
      <w:pPr>
        <w:pStyle w:val="Heading2"/>
        <w:spacing w:before="0" w:after="60"/>
        <w:rPr>
          <w:rFonts w:asciiTheme="minorHAnsi" w:hAnsiTheme="minorHAnsi"/>
          <w:i/>
          <w:sz w:val="24"/>
        </w:rPr>
      </w:pPr>
      <w:bookmarkStart w:id="9" w:name="_Toc442730505"/>
      <w:r w:rsidRPr="00762199">
        <w:rPr>
          <w:rFonts w:asciiTheme="minorHAnsi" w:hAnsiTheme="minorHAnsi"/>
          <w:i/>
          <w:sz w:val="24"/>
        </w:rPr>
        <w:t>Prior authorisation</w:t>
      </w:r>
      <w:bookmarkEnd w:id="9"/>
      <w:r w:rsidRPr="00762199">
        <w:rPr>
          <w:rFonts w:asciiTheme="minorHAnsi" w:hAnsiTheme="minorHAnsi"/>
          <w:i/>
          <w:sz w:val="24"/>
        </w:rPr>
        <w:t xml:space="preserve"> </w:t>
      </w:r>
    </w:p>
    <w:p w:rsidR="00B33C63" w:rsidRDefault="00B33C63" w:rsidP="00B33C63">
      <w:pPr>
        <w:spacing w:after="120"/>
        <w:jc w:val="both"/>
        <w:rPr>
          <w:sz w:val="24"/>
          <w:szCs w:val="24"/>
        </w:rPr>
      </w:pPr>
      <w:r>
        <w:rPr>
          <w:sz w:val="24"/>
          <w:szCs w:val="24"/>
        </w:rPr>
        <w:t>Member States are entitled to require prior authorisation for certain types of care.</w:t>
      </w:r>
      <w:r>
        <w:rPr>
          <w:rStyle w:val="FootnoteReference"/>
          <w:sz w:val="24"/>
          <w:szCs w:val="24"/>
        </w:rPr>
        <w:footnoteReference w:id="11"/>
      </w:r>
      <w:r>
        <w:rPr>
          <w:sz w:val="24"/>
          <w:szCs w:val="24"/>
        </w:rPr>
        <w:t xml:space="preserve"> Currently they are mainly using Article 8(2)(a), which refers to healthcare that is subject to </w:t>
      </w:r>
      <w:r w:rsidRPr="00556F0D">
        <w:rPr>
          <w:sz w:val="24"/>
          <w:szCs w:val="24"/>
        </w:rPr>
        <w:t xml:space="preserve">planning </w:t>
      </w:r>
      <w:r>
        <w:rPr>
          <w:sz w:val="24"/>
          <w:szCs w:val="24"/>
        </w:rPr>
        <w:t xml:space="preserve">in order to maintain domestic </w:t>
      </w:r>
      <w:r w:rsidRPr="00556F0D">
        <w:rPr>
          <w:sz w:val="24"/>
          <w:szCs w:val="24"/>
        </w:rPr>
        <w:t xml:space="preserve">access or </w:t>
      </w:r>
      <w:r>
        <w:rPr>
          <w:sz w:val="24"/>
          <w:szCs w:val="24"/>
        </w:rPr>
        <w:t xml:space="preserve">to </w:t>
      </w:r>
      <w:r w:rsidRPr="00556F0D">
        <w:rPr>
          <w:sz w:val="24"/>
          <w:szCs w:val="24"/>
        </w:rPr>
        <w:t>control costs</w:t>
      </w:r>
      <w:r>
        <w:rPr>
          <w:sz w:val="24"/>
          <w:szCs w:val="24"/>
        </w:rPr>
        <w:t>/</w:t>
      </w:r>
      <w:r w:rsidRPr="00556F0D">
        <w:rPr>
          <w:sz w:val="24"/>
          <w:szCs w:val="24"/>
        </w:rPr>
        <w:t>avoid</w:t>
      </w:r>
      <w:r>
        <w:rPr>
          <w:sz w:val="24"/>
          <w:szCs w:val="24"/>
        </w:rPr>
        <w:t xml:space="preserve"> waste, and which either involves overnight hospital stay or the </w:t>
      </w:r>
      <w:r w:rsidRPr="00556F0D">
        <w:rPr>
          <w:sz w:val="24"/>
          <w:szCs w:val="24"/>
        </w:rPr>
        <w:t xml:space="preserve">use of highly specialised </w:t>
      </w:r>
      <w:r>
        <w:rPr>
          <w:sz w:val="24"/>
          <w:szCs w:val="24"/>
        </w:rPr>
        <w:t xml:space="preserve">infrastructure or equipment. </w:t>
      </w:r>
    </w:p>
    <w:p w:rsidR="00B33C63" w:rsidRDefault="00B33C63" w:rsidP="00B33C63">
      <w:pPr>
        <w:spacing w:after="120"/>
        <w:jc w:val="both"/>
        <w:rPr>
          <w:sz w:val="24"/>
          <w:szCs w:val="24"/>
        </w:rPr>
      </w:pPr>
      <w:r>
        <w:rPr>
          <w:sz w:val="24"/>
          <w:szCs w:val="24"/>
        </w:rPr>
        <w:t>Member State</w:t>
      </w:r>
      <w:r w:rsidRPr="002F0838">
        <w:rPr>
          <w:sz w:val="24"/>
          <w:szCs w:val="24"/>
        </w:rPr>
        <w:t>s are obliged to communicate clearly which treatments are subject to prior authorisation. However,</w:t>
      </w:r>
      <w:r>
        <w:rPr>
          <w:sz w:val="24"/>
          <w:szCs w:val="24"/>
        </w:rPr>
        <w:t xml:space="preserve"> they are not doing so</w:t>
      </w:r>
      <w:r w:rsidRPr="002F0838">
        <w:rPr>
          <w:sz w:val="24"/>
          <w:szCs w:val="24"/>
        </w:rPr>
        <w:t xml:space="preserve">. </w:t>
      </w:r>
      <w:r>
        <w:rPr>
          <w:sz w:val="24"/>
          <w:szCs w:val="24"/>
        </w:rPr>
        <w:t xml:space="preserve">According to the EC report: </w:t>
      </w:r>
    </w:p>
    <w:p w:rsidR="00B33C63" w:rsidRPr="00556F0D" w:rsidRDefault="00B33C63" w:rsidP="00B33C63">
      <w:pPr>
        <w:pStyle w:val="ListParagraph"/>
        <w:numPr>
          <w:ilvl w:val="0"/>
          <w:numId w:val="3"/>
        </w:numPr>
        <w:spacing w:after="40"/>
        <w:ind w:hanging="357"/>
        <w:jc w:val="both"/>
        <w:rPr>
          <w:sz w:val="24"/>
          <w:szCs w:val="24"/>
        </w:rPr>
      </w:pPr>
      <w:r>
        <w:rPr>
          <w:sz w:val="24"/>
          <w:szCs w:val="24"/>
        </w:rPr>
        <w:t>7</w:t>
      </w:r>
      <w:r w:rsidRPr="00556F0D">
        <w:rPr>
          <w:sz w:val="24"/>
          <w:szCs w:val="24"/>
        </w:rPr>
        <w:t xml:space="preserve"> </w:t>
      </w:r>
      <w:r>
        <w:rPr>
          <w:sz w:val="24"/>
          <w:szCs w:val="24"/>
        </w:rPr>
        <w:t>Member State</w:t>
      </w:r>
      <w:r w:rsidRPr="00556F0D">
        <w:rPr>
          <w:sz w:val="24"/>
          <w:szCs w:val="24"/>
        </w:rPr>
        <w:t>s</w:t>
      </w:r>
      <w:r>
        <w:rPr>
          <w:rStyle w:val="FootnoteReference"/>
          <w:sz w:val="24"/>
          <w:szCs w:val="24"/>
        </w:rPr>
        <w:footnoteReference w:id="12"/>
      </w:r>
      <w:r w:rsidRPr="00556F0D">
        <w:rPr>
          <w:sz w:val="24"/>
          <w:szCs w:val="24"/>
        </w:rPr>
        <w:t xml:space="preserve"> are </w:t>
      </w:r>
      <w:r w:rsidRPr="00762199">
        <w:rPr>
          <w:sz w:val="24"/>
          <w:szCs w:val="24"/>
        </w:rPr>
        <w:t>not</w:t>
      </w:r>
      <w:r w:rsidRPr="00556F0D">
        <w:rPr>
          <w:sz w:val="24"/>
          <w:szCs w:val="24"/>
        </w:rPr>
        <w:t xml:space="preserve"> applying any </w:t>
      </w:r>
      <w:r>
        <w:rPr>
          <w:sz w:val="24"/>
          <w:szCs w:val="24"/>
        </w:rPr>
        <w:t xml:space="preserve">prior </w:t>
      </w:r>
      <w:r w:rsidRPr="00556F0D">
        <w:rPr>
          <w:sz w:val="24"/>
          <w:szCs w:val="24"/>
        </w:rPr>
        <w:t>authorisation</w:t>
      </w:r>
      <w:r w:rsidRPr="00F12BFF">
        <w:rPr>
          <w:sz w:val="24"/>
          <w:szCs w:val="24"/>
        </w:rPr>
        <w:t>.</w:t>
      </w:r>
    </w:p>
    <w:p w:rsidR="00B33C63" w:rsidRPr="00556F0D" w:rsidRDefault="00B33C63" w:rsidP="00B33C63">
      <w:pPr>
        <w:pStyle w:val="ListParagraph"/>
        <w:numPr>
          <w:ilvl w:val="0"/>
          <w:numId w:val="3"/>
        </w:numPr>
        <w:spacing w:after="40"/>
        <w:ind w:hanging="357"/>
        <w:jc w:val="both"/>
        <w:rPr>
          <w:sz w:val="24"/>
          <w:szCs w:val="24"/>
        </w:rPr>
      </w:pPr>
      <w:r>
        <w:rPr>
          <w:sz w:val="24"/>
          <w:szCs w:val="24"/>
        </w:rPr>
        <w:t>6 Member State</w:t>
      </w:r>
      <w:r w:rsidRPr="00556F0D">
        <w:rPr>
          <w:sz w:val="24"/>
          <w:szCs w:val="24"/>
        </w:rPr>
        <w:t>s apply prior authorisation for a detailed list of treatments</w:t>
      </w:r>
    </w:p>
    <w:p w:rsidR="00B33C63" w:rsidRPr="00556F0D" w:rsidRDefault="00B33C63" w:rsidP="00B33C63">
      <w:pPr>
        <w:pStyle w:val="ListParagraph"/>
        <w:numPr>
          <w:ilvl w:val="0"/>
          <w:numId w:val="3"/>
        </w:numPr>
        <w:spacing w:after="40"/>
        <w:ind w:hanging="357"/>
        <w:jc w:val="both"/>
        <w:rPr>
          <w:sz w:val="24"/>
          <w:szCs w:val="24"/>
        </w:rPr>
      </w:pPr>
      <w:r w:rsidRPr="00556F0D">
        <w:rPr>
          <w:sz w:val="24"/>
          <w:szCs w:val="24"/>
        </w:rPr>
        <w:t xml:space="preserve">14 </w:t>
      </w:r>
      <w:r>
        <w:rPr>
          <w:sz w:val="24"/>
          <w:szCs w:val="24"/>
        </w:rPr>
        <w:t>Member State</w:t>
      </w:r>
      <w:r w:rsidRPr="00556F0D">
        <w:rPr>
          <w:sz w:val="24"/>
          <w:szCs w:val="24"/>
        </w:rPr>
        <w:t>s apply prior authorisation for overnight stay and highly specialised care</w:t>
      </w:r>
      <w:r>
        <w:rPr>
          <w:sz w:val="24"/>
          <w:szCs w:val="24"/>
        </w:rPr>
        <w:t>. However, only 5 specify which treatments are covered by the criterion of “highly specialised”.</w:t>
      </w:r>
    </w:p>
    <w:p w:rsidR="00B33C63" w:rsidRPr="00556F0D" w:rsidRDefault="00B33C63" w:rsidP="00B33C63">
      <w:pPr>
        <w:pStyle w:val="ListParagraph"/>
        <w:numPr>
          <w:ilvl w:val="0"/>
          <w:numId w:val="3"/>
        </w:numPr>
        <w:spacing w:after="120"/>
        <w:jc w:val="both"/>
        <w:rPr>
          <w:sz w:val="24"/>
          <w:szCs w:val="24"/>
        </w:rPr>
      </w:pPr>
      <w:r>
        <w:rPr>
          <w:sz w:val="24"/>
          <w:szCs w:val="24"/>
        </w:rPr>
        <w:t>1 Member State</w:t>
      </w:r>
      <w:r w:rsidRPr="00556F0D">
        <w:rPr>
          <w:sz w:val="24"/>
          <w:szCs w:val="24"/>
        </w:rPr>
        <w:t xml:space="preserve"> </w:t>
      </w:r>
      <w:r>
        <w:rPr>
          <w:sz w:val="24"/>
          <w:szCs w:val="24"/>
        </w:rPr>
        <w:t xml:space="preserve">even </w:t>
      </w:r>
      <w:r w:rsidRPr="00556F0D">
        <w:rPr>
          <w:sz w:val="24"/>
          <w:szCs w:val="24"/>
        </w:rPr>
        <w:t>requires prior authorisation “for everything, with exception of one specialist consultation per year per patient</w:t>
      </w:r>
      <w:r>
        <w:rPr>
          <w:sz w:val="24"/>
          <w:szCs w:val="24"/>
        </w:rPr>
        <w:t>.</w:t>
      </w:r>
      <w:r w:rsidRPr="00556F0D">
        <w:rPr>
          <w:sz w:val="24"/>
          <w:szCs w:val="24"/>
        </w:rPr>
        <w:t xml:space="preserve">” </w:t>
      </w:r>
    </w:p>
    <w:p w:rsidR="00B33C63" w:rsidRPr="00825F3D" w:rsidRDefault="00B33C63" w:rsidP="00B33C63">
      <w:pPr>
        <w:spacing w:after="120"/>
        <w:jc w:val="both"/>
        <w:rPr>
          <w:sz w:val="24"/>
          <w:szCs w:val="24"/>
        </w:rPr>
      </w:pPr>
      <w:r>
        <w:rPr>
          <w:sz w:val="24"/>
          <w:szCs w:val="24"/>
        </w:rPr>
        <w:t xml:space="preserve">Thus the majority of Member States appear to be </w:t>
      </w:r>
      <w:proofErr w:type="spellStart"/>
      <w:r>
        <w:rPr>
          <w:sz w:val="24"/>
          <w:szCs w:val="24"/>
        </w:rPr>
        <w:t>mis</w:t>
      </w:r>
      <w:proofErr w:type="spellEnd"/>
      <w:r>
        <w:rPr>
          <w:sz w:val="24"/>
          <w:szCs w:val="24"/>
        </w:rPr>
        <w:t>-applying the directive.</w:t>
      </w:r>
      <w:r>
        <w:rPr>
          <w:rStyle w:val="FootnoteReference"/>
          <w:sz w:val="24"/>
          <w:szCs w:val="24"/>
        </w:rPr>
        <w:footnoteReference w:id="13"/>
      </w:r>
      <w:r>
        <w:rPr>
          <w:sz w:val="24"/>
          <w:szCs w:val="24"/>
        </w:rPr>
        <w:t xml:space="preserve"> The evaluative study also points out that interpreting information on prior authorisation “usually requires some degree of medical expertise” and in fact patients usually contact their health insurance providers for that information. </w:t>
      </w:r>
    </w:p>
    <w:p w:rsidR="00B33C63" w:rsidRDefault="00B33C63" w:rsidP="00B33C63">
      <w:pPr>
        <w:spacing w:after="120"/>
        <w:jc w:val="both"/>
        <w:rPr>
          <w:sz w:val="24"/>
          <w:szCs w:val="24"/>
        </w:rPr>
      </w:pPr>
      <w:r>
        <w:rPr>
          <w:sz w:val="24"/>
          <w:szCs w:val="24"/>
        </w:rPr>
        <w:t xml:space="preserve">Lack of clear information </w:t>
      </w:r>
      <w:r w:rsidRPr="002F0838">
        <w:rPr>
          <w:sz w:val="24"/>
          <w:szCs w:val="24"/>
        </w:rPr>
        <w:t xml:space="preserve">is </w:t>
      </w:r>
      <w:r>
        <w:rPr>
          <w:sz w:val="24"/>
          <w:szCs w:val="24"/>
        </w:rPr>
        <w:t>a</w:t>
      </w:r>
      <w:r w:rsidRPr="002F0838">
        <w:rPr>
          <w:sz w:val="24"/>
          <w:szCs w:val="24"/>
        </w:rPr>
        <w:t xml:space="preserve"> deter</w:t>
      </w:r>
      <w:r>
        <w:rPr>
          <w:sz w:val="24"/>
          <w:szCs w:val="24"/>
        </w:rPr>
        <w:t xml:space="preserve">rent to </w:t>
      </w:r>
      <w:r w:rsidRPr="002F0838">
        <w:rPr>
          <w:sz w:val="24"/>
          <w:szCs w:val="24"/>
        </w:rPr>
        <w:t xml:space="preserve">many patients </w:t>
      </w:r>
      <w:r>
        <w:rPr>
          <w:sz w:val="24"/>
          <w:szCs w:val="24"/>
        </w:rPr>
        <w:t xml:space="preserve">to </w:t>
      </w:r>
      <w:r w:rsidRPr="002F0838">
        <w:rPr>
          <w:sz w:val="24"/>
          <w:szCs w:val="24"/>
        </w:rPr>
        <w:t>seeking healthcare</w:t>
      </w:r>
      <w:r>
        <w:rPr>
          <w:sz w:val="24"/>
          <w:szCs w:val="24"/>
        </w:rPr>
        <w:t xml:space="preserve">. The situation is unacceptable also because it </w:t>
      </w:r>
      <w:r w:rsidRPr="002F0838">
        <w:rPr>
          <w:sz w:val="24"/>
          <w:szCs w:val="24"/>
        </w:rPr>
        <w:t xml:space="preserve">undermines the Directive’s </w:t>
      </w:r>
      <w:r>
        <w:rPr>
          <w:sz w:val="24"/>
          <w:szCs w:val="24"/>
        </w:rPr>
        <w:t xml:space="preserve">original </w:t>
      </w:r>
      <w:r w:rsidRPr="002F0838">
        <w:rPr>
          <w:sz w:val="24"/>
          <w:szCs w:val="24"/>
        </w:rPr>
        <w:t>objective</w:t>
      </w:r>
      <w:r>
        <w:rPr>
          <w:sz w:val="24"/>
          <w:szCs w:val="24"/>
        </w:rPr>
        <w:t>,</w:t>
      </w:r>
      <w:r w:rsidRPr="002F0838">
        <w:rPr>
          <w:sz w:val="24"/>
          <w:szCs w:val="24"/>
        </w:rPr>
        <w:t xml:space="preserve"> which </w:t>
      </w:r>
      <w:r>
        <w:rPr>
          <w:sz w:val="24"/>
          <w:szCs w:val="24"/>
        </w:rPr>
        <w:t xml:space="preserve">was </w:t>
      </w:r>
      <w:r w:rsidRPr="002F0838">
        <w:rPr>
          <w:sz w:val="24"/>
          <w:szCs w:val="24"/>
        </w:rPr>
        <w:t xml:space="preserve">to </w:t>
      </w:r>
      <w:r w:rsidRPr="00A20FC8">
        <w:rPr>
          <w:i/>
          <w:sz w:val="24"/>
          <w:szCs w:val="24"/>
        </w:rPr>
        <w:t>create clarity on patients’ rights and entitlements</w:t>
      </w:r>
      <w:r w:rsidRPr="002F0838">
        <w:rPr>
          <w:sz w:val="24"/>
          <w:szCs w:val="24"/>
        </w:rPr>
        <w:t xml:space="preserve"> and </w:t>
      </w:r>
      <w:r w:rsidRPr="00A20FC8">
        <w:rPr>
          <w:i/>
          <w:sz w:val="24"/>
          <w:szCs w:val="24"/>
        </w:rPr>
        <w:t>enable patients to make meaningful, informed choice</w:t>
      </w:r>
      <w:r>
        <w:rPr>
          <w:i/>
          <w:sz w:val="24"/>
          <w:szCs w:val="24"/>
        </w:rPr>
        <w:t>s</w:t>
      </w:r>
      <w:r w:rsidRPr="00A20FC8">
        <w:rPr>
          <w:i/>
          <w:sz w:val="24"/>
          <w:szCs w:val="24"/>
        </w:rPr>
        <w:t xml:space="preserve"> </w:t>
      </w:r>
      <w:r w:rsidRPr="002F0838">
        <w:rPr>
          <w:sz w:val="24"/>
          <w:szCs w:val="24"/>
        </w:rPr>
        <w:t>regarding</w:t>
      </w:r>
      <w:r>
        <w:rPr>
          <w:sz w:val="24"/>
          <w:szCs w:val="24"/>
        </w:rPr>
        <w:t xml:space="preserve"> </w:t>
      </w:r>
      <w:r w:rsidRPr="002F0838">
        <w:rPr>
          <w:sz w:val="24"/>
          <w:szCs w:val="24"/>
        </w:rPr>
        <w:t xml:space="preserve">treatment abroad. </w:t>
      </w:r>
    </w:p>
    <w:p w:rsidR="00B33C63" w:rsidRDefault="00B33C63" w:rsidP="00B33C63">
      <w:pPr>
        <w:spacing w:after="120"/>
        <w:jc w:val="both"/>
        <w:rPr>
          <w:sz w:val="24"/>
          <w:szCs w:val="24"/>
        </w:rPr>
      </w:pPr>
      <w:r>
        <w:rPr>
          <w:sz w:val="24"/>
          <w:szCs w:val="24"/>
        </w:rPr>
        <w:lastRenderedPageBreak/>
        <w:t xml:space="preserve">Finally, it may have inadvertently increased the admin burden on some national authorities, because patients requested prior authorisation even when it was not necessary. In any case, the EC report questions whether extensive systems of prior authorisation are justified and proportional, given the very small numbers of people applying for authorisation. (In some Member States very few or none at all were made during the year 2014 when data was collected). </w:t>
      </w:r>
    </w:p>
    <w:p w:rsidR="00B33C63" w:rsidRDefault="00B33C63" w:rsidP="00B33C63">
      <w:pPr>
        <w:spacing w:after="120"/>
        <w:jc w:val="both"/>
        <w:rPr>
          <w:sz w:val="24"/>
          <w:szCs w:val="24"/>
        </w:rPr>
      </w:pPr>
      <w:r w:rsidRPr="00AC7BA2">
        <w:rPr>
          <w:sz w:val="24"/>
          <w:szCs w:val="24"/>
        </w:rPr>
        <w:t xml:space="preserve">The time to process prior authorisation requests </w:t>
      </w:r>
      <w:r>
        <w:rPr>
          <w:sz w:val="24"/>
          <w:szCs w:val="24"/>
        </w:rPr>
        <w:t xml:space="preserve">also </w:t>
      </w:r>
      <w:r w:rsidRPr="00AC7BA2">
        <w:rPr>
          <w:sz w:val="24"/>
          <w:szCs w:val="24"/>
        </w:rPr>
        <w:t xml:space="preserve">varies greatly: </w:t>
      </w:r>
      <w:r>
        <w:rPr>
          <w:sz w:val="24"/>
          <w:szCs w:val="24"/>
        </w:rPr>
        <w:t xml:space="preserve">whist </w:t>
      </w:r>
      <w:r w:rsidRPr="00AC7BA2">
        <w:rPr>
          <w:sz w:val="24"/>
          <w:szCs w:val="24"/>
        </w:rPr>
        <w:t>9 Member States reported taking fewer than 20 days on average</w:t>
      </w:r>
      <w:r>
        <w:rPr>
          <w:rStyle w:val="FootnoteReference"/>
          <w:sz w:val="24"/>
          <w:szCs w:val="24"/>
        </w:rPr>
        <w:footnoteReference w:id="14"/>
      </w:r>
      <w:r>
        <w:rPr>
          <w:sz w:val="24"/>
          <w:szCs w:val="24"/>
        </w:rPr>
        <w:t xml:space="preserve">, three </w:t>
      </w:r>
      <w:r w:rsidRPr="00AC7BA2">
        <w:rPr>
          <w:sz w:val="24"/>
          <w:szCs w:val="24"/>
        </w:rPr>
        <w:t>reported 30 days or more</w:t>
      </w:r>
      <w:r>
        <w:rPr>
          <w:rStyle w:val="FootnoteReference"/>
          <w:sz w:val="24"/>
          <w:szCs w:val="24"/>
        </w:rPr>
        <w:footnoteReference w:id="15"/>
      </w:r>
      <w:r w:rsidRPr="00AC7BA2">
        <w:rPr>
          <w:sz w:val="24"/>
          <w:szCs w:val="24"/>
        </w:rPr>
        <w:t>.</w:t>
      </w:r>
    </w:p>
    <w:p w:rsidR="00B33C63" w:rsidRPr="00776C20" w:rsidRDefault="00B33C63" w:rsidP="00B33C63">
      <w:pPr>
        <w:pStyle w:val="Heading2"/>
        <w:spacing w:before="0" w:after="60"/>
        <w:rPr>
          <w:rFonts w:asciiTheme="minorHAnsi" w:hAnsiTheme="minorHAnsi"/>
          <w:i/>
          <w:sz w:val="24"/>
        </w:rPr>
      </w:pPr>
      <w:bookmarkStart w:id="10" w:name="_Toc442730506"/>
      <w:r w:rsidRPr="00776C20">
        <w:rPr>
          <w:rFonts w:asciiTheme="minorHAnsi" w:hAnsiTheme="minorHAnsi"/>
          <w:i/>
          <w:sz w:val="24"/>
        </w:rPr>
        <w:t>Upfront payment</w:t>
      </w:r>
      <w:bookmarkEnd w:id="10"/>
    </w:p>
    <w:p w:rsidR="00B33C63" w:rsidRPr="002F0838" w:rsidRDefault="00B33C63" w:rsidP="00B33C63">
      <w:pPr>
        <w:spacing w:after="120"/>
        <w:jc w:val="both"/>
        <w:rPr>
          <w:sz w:val="24"/>
          <w:szCs w:val="24"/>
        </w:rPr>
      </w:pPr>
      <w:r w:rsidRPr="002F0838">
        <w:rPr>
          <w:sz w:val="24"/>
          <w:szCs w:val="24"/>
        </w:rPr>
        <w:t>One major</w:t>
      </w:r>
      <w:r>
        <w:rPr>
          <w:sz w:val="24"/>
          <w:szCs w:val="24"/>
        </w:rPr>
        <w:t xml:space="preserve"> barrier to access </w:t>
      </w:r>
      <w:r w:rsidRPr="002F0838">
        <w:rPr>
          <w:sz w:val="24"/>
          <w:szCs w:val="24"/>
        </w:rPr>
        <w:t xml:space="preserve">is the requirement that </w:t>
      </w:r>
      <w:r w:rsidRPr="00776C20">
        <w:rPr>
          <w:sz w:val="24"/>
          <w:szCs w:val="24"/>
        </w:rPr>
        <w:t>patients pay up-front</w:t>
      </w:r>
      <w:r w:rsidRPr="002F0838">
        <w:rPr>
          <w:sz w:val="24"/>
          <w:szCs w:val="24"/>
        </w:rPr>
        <w:t xml:space="preserve"> for cross-border care and are reimbursed afterwards. This is not acceptable from an equity perspective; it places the burden on the patients and their families, who are already in a vulnerable position.</w:t>
      </w:r>
      <w:r>
        <w:rPr>
          <w:sz w:val="24"/>
          <w:szCs w:val="24"/>
        </w:rPr>
        <w:t xml:space="preserve"> Many </w:t>
      </w:r>
      <w:r w:rsidRPr="002F0838">
        <w:rPr>
          <w:sz w:val="24"/>
          <w:szCs w:val="24"/>
        </w:rPr>
        <w:t>patients will not be able to benefit in practice from their new right under the Directive.</w:t>
      </w:r>
    </w:p>
    <w:p w:rsidR="00B33C63" w:rsidRDefault="00B33C63" w:rsidP="00B33C63">
      <w:pPr>
        <w:spacing w:after="120"/>
        <w:jc w:val="both"/>
        <w:rPr>
          <w:sz w:val="24"/>
          <w:szCs w:val="24"/>
        </w:rPr>
      </w:pPr>
      <w:r w:rsidRPr="002F0838">
        <w:rPr>
          <w:sz w:val="24"/>
          <w:szCs w:val="24"/>
        </w:rPr>
        <w:t>Access</w:t>
      </w:r>
      <w:r>
        <w:rPr>
          <w:sz w:val="24"/>
          <w:szCs w:val="24"/>
        </w:rPr>
        <w:t xml:space="preserve"> </w:t>
      </w:r>
      <w:r w:rsidRPr="002F0838">
        <w:rPr>
          <w:sz w:val="24"/>
          <w:szCs w:val="24"/>
        </w:rPr>
        <w:t>to healthcare should be based on “needs, not means”. It is essential</w:t>
      </w:r>
      <w:r>
        <w:rPr>
          <w:sz w:val="24"/>
          <w:szCs w:val="24"/>
        </w:rPr>
        <w:t xml:space="preserve"> </w:t>
      </w:r>
      <w:r w:rsidRPr="002F0838">
        <w:rPr>
          <w:sz w:val="24"/>
          <w:szCs w:val="24"/>
        </w:rPr>
        <w:t xml:space="preserve">that patients who </w:t>
      </w:r>
      <w:r w:rsidRPr="000D0571">
        <w:rPr>
          <w:i/>
          <w:sz w:val="24"/>
          <w:szCs w:val="24"/>
        </w:rPr>
        <w:t>need to</w:t>
      </w:r>
      <w:r w:rsidRPr="002F0838">
        <w:rPr>
          <w:sz w:val="24"/>
          <w:szCs w:val="24"/>
        </w:rPr>
        <w:t xml:space="preserve"> access cross-border healthcare can do so on an equitable basis, regardless of their social or economic position. For this reason, it is necessary to identify mechanisms for direct transfers of the costs of cross-border healthcare.</w:t>
      </w:r>
      <w:r>
        <w:rPr>
          <w:rStyle w:val="FootnoteReference"/>
          <w:sz w:val="24"/>
          <w:szCs w:val="24"/>
        </w:rPr>
        <w:footnoteReference w:id="16"/>
      </w:r>
      <w:r w:rsidRPr="002F0838">
        <w:rPr>
          <w:sz w:val="24"/>
          <w:szCs w:val="24"/>
        </w:rPr>
        <w:t xml:space="preserve"> </w:t>
      </w:r>
    </w:p>
    <w:p w:rsidR="00B33C63" w:rsidRPr="00EC10AB" w:rsidRDefault="00B33C63" w:rsidP="00B33C63">
      <w:pPr>
        <w:spacing w:after="120"/>
        <w:jc w:val="both"/>
        <w:rPr>
          <w:sz w:val="24"/>
        </w:rPr>
      </w:pPr>
      <w:r w:rsidRPr="00EC10AB">
        <w:rPr>
          <w:sz w:val="24"/>
        </w:rPr>
        <w:t xml:space="preserve">The directive </w:t>
      </w:r>
      <w:r>
        <w:rPr>
          <w:sz w:val="24"/>
        </w:rPr>
        <w:t xml:space="preserve">does in fact allow </w:t>
      </w:r>
      <w:proofErr w:type="spellStart"/>
      <w:r w:rsidRPr="00EC10AB">
        <w:rPr>
          <w:sz w:val="24"/>
        </w:rPr>
        <w:t>allow</w:t>
      </w:r>
      <w:proofErr w:type="spellEnd"/>
      <w:r>
        <w:rPr>
          <w:sz w:val="24"/>
        </w:rPr>
        <w:t xml:space="preserve"> Member States </w:t>
      </w:r>
      <w:r w:rsidRPr="00EC10AB">
        <w:rPr>
          <w:sz w:val="24"/>
        </w:rPr>
        <w:t>to reduce the financial burden on patients</w:t>
      </w:r>
      <w:r>
        <w:rPr>
          <w:sz w:val="24"/>
        </w:rPr>
        <w:t>, if they decide to do so:</w:t>
      </w:r>
      <w:r w:rsidRPr="00EC10AB">
        <w:rPr>
          <w:sz w:val="24"/>
        </w:rPr>
        <w:t xml:space="preserve"> </w:t>
      </w:r>
      <w:r>
        <w:rPr>
          <w:sz w:val="24"/>
        </w:rPr>
        <w:t xml:space="preserve">first, </w:t>
      </w:r>
      <w:r w:rsidRPr="00EC10AB">
        <w:rPr>
          <w:sz w:val="24"/>
        </w:rPr>
        <w:t xml:space="preserve">by making use of </w:t>
      </w:r>
      <w:r w:rsidRPr="00EC10AB">
        <w:rPr>
          <w:i/>
          <w:sz w:val="24"/>
        </w:rPr>
        <w:t xml:space="preserve">prior </w:t>
      </w:r>
      <w:r>
        <w:rPr>
          <w:i/>
          <w:sz w:val="24"/>
        </w:rPr>
        <w:t xml:space="preserve">notification. </w:t>
      </w:r>
      <w:r w:rsidRPr="00EC10AB">
        <w:rPr>
          <w:sz w:val="24"/>
        </w:rPr>
        <w:t>Patient</w:t>
      </w:r>
      <w:r>
        <w:rPr>
          <w:sz w:val="24"/>
        </w:rPr>
        <w:t xml:space="preserve">s could in theory </w:t>
      </w:r>
      <w:r w:rsidRPr="00EC10AB">
        <w:rPr>
          <w:sz w:val="24"/>
        </w:rPr>
        <w:t xml:space="preserve">obtain </w:t>
      </w:r>
      <w:r>
        <w:rPr>
          <w:sz w:val="24"/>
        </w:rPr>
        <w:t xml:space="preserve">a </w:t>
      </w:r>
      <w:r w:rsidRPr="00EC10AB">
        <w:rPr>
          <w:sz w:val="24"/>
        </w:rPr>
        <w:t xml:space="preserve">prior </w:t>
      </w:r>
      <w:r>
        <w:rPr>
          <w:sz w:val="24"/>
        </w:rPr>
        <w:t xml:space="preserve">authorisation even if it is not strictly speaking required, </w:t>
      </w:r>
      <w:r w:rsidRPr="00EC10AB">
        <w:rPr>
          <w:sz w:val="24"/>
        </w:rPr>
        <w:t>and in exchange receive written confirmation of the level of reimbursement they are entitled to, before having the treatment. This</w:t>
      </w:r>
      <w:r>
        <w:rPr>
          <w:sz w:val="24"/>
        </w:rPr>
        <w:t xml:space="preserve"> would </w:t>
      </w:r>
      <w:r w:rsidRPr="00EC10AB">
        <w:rPr>
          <w:sz w:val="24"/>
        </w:rPr>
        <w:t xml:space="preserve">help </w:t>
      </w:r>
      <w:r>
        <w:rPr>
          <w:sz w:val="24"/>
        </w:rPr>
        <w:t xml:space="preserve">them </w:t>
      </w:r>
      <w:r w:rsidRPr="00EC10AB">
        <w:rPr>
          <w:sz w:val="24"/>
        </w:rPr>
        <w:t>to calculate their costs more accurately.</w:t>
      </w:r>
    </w:p>
    <w:p w:rsidR="00B33C63" w:rsidRDefault="00B33C63" w:rsidP="00B33C63">
      <w:pPr>
        <w:spacing w:after="120"/>
        <w:jc w:val="both"/>
        <w:rPr>
          <w:sz w:val="24"/>
        </w:rPr>
      </w:pPr>
      <w:r>
        <w:rPr>
          <w:sz w:val="24"/>
        </w:rPr>
        <w:t>The second option would go further towards alleviating the burden on patients:</w:t>
      </w:r>
      <w:r w:rsidRPr="00EC10AB">
        <w:rPr>
          <w:sz w:val="24"/>
        </w:rPr>
        <w:t xml:space="preserve"> </w:t>
      </w:r>
      <w:r>
        <w:rPr>
          <w:sz w:val="24"/>
        </w:rPr>
        <w:t>Member States</w:t>
      </w:r>
      <w:r w:rsidRPr="00EC10AB">
        <w:rPr>
          <w:sz w:val="24"/>
        </w:rPr>
        <w:t xml:space="preserve"> </w:t>
      </w:r>
      <w:r>
        <w:rPr>
          <w:sz w:val="24"/>
        </w:rPr>
        <w:t xml:space="preserve">could </w:t>
      </w:r>
      <w:r w:rsidRPr="00EC10AB">
        <w:rPr>
          <w:sz w:val="24"/>
        </w:rPr>
        <w:t xml:space="preserve">put in place a </w:t>
      </w:r>
      <w:r w:rsidRPr="00995809">
        <w:rPr>
          <w:i/>
          <w:sz w:val="24"/>
        </w:rPr>
        <w:t>mechanism for direct transfer of costs</w:t>
      </w:r>
      <w:r w:rsidRPr="00EC10AB">
        <w:rPr>
          <w:sz w:val="24"/>
        </w:rPr>
        <w:t xml:space="preserve"> across borders. </w:t>
      </w:r>
      <w:r>
        <w:rPr>
          <w:sz w:val="24"/>
        </w:rPr>
        <w:t xml:space="preserve">Such a </w:t>
      </w:r>
      <w:r w:rsidRPr="00EC10AB">
        <w:rPr>
          <w:sz w:val="24"/>
        </w:rPr>
        <w:t xml:space="preserve">mechanism already exists under the arrangements for the </w:t>
      </w:r>
      <w:r w:rsidRPr="00776C20">
        <w:rPr>
          <w:sz w:val="24"/>
        </w:rPr>
        <w:t>coordination of social security systems</w:t>
      </w:r>
      <w:r w:rsidRPr="00EC10AB">
        <w:rPr>
          <w:sz w:val="24"/>
        </w:rPr>
        <w:t xml:space="preserve"> (EU Regulation No. 883/2004). </w:t>
      </w:r>
    </w:p>
    <w:p w:rsidR="00B33C63" w:rsidRDefault="00B33C63" w:rsidP="00B33C63">
      <w:pPr>
        <w:spacing w:after="240"/>
        <w:jc w:val="both"/>
        <w:rPr>
          <w:sz w:val="24"/>
        </w:rPr>
      </w:pPr>
      <w:r>
        <w:rPr>
          <w:sz w:val="24"/>
        </w:rPr>
        <w:t>However so far Member States have not been willing to use these mechanisms for cross-border healthcare under the directive.</w:t>
      </w:r>
    </w:p>
    <w:p w:rsidR="00B33C63" w:rsidRPr="00F263BC" w:rsidRDefault="00B33C63" w:rsidP="00B33C63">
      <w:pPr>
        <w:pStyle w:val="Heading2"/>
        <w:spacing w:before="0" w:after="60"/>
        <w:rPr>
          <w:rFonts w:asciiTheme="minorHAnsi" w:hAnsiTheme="minorHAnsi"/>
          <w:i/>
          <w:sz w:val="24"/>
        </w:rPr>
      </w:pPr>
      <w:bookmarkStart w:id="11" w:name="_Toc442730507"/>
      <w:r w:rsidRPr="00F263BC">
        <w:rPr>
          <w:rFonts w:asciiTheme="minorHAnsi" w:hAnsiTheme="minorHAnsi"/>
          <w:i/>
          <w:sz w:val="24"/>
        </w:rPr>
        <w:t>Reimbursement</w:t>
      </w:r>
      <w:bookmarkEnd w:id="11"/>
      <w:r w:rsidRPr="00F263BC">
        <w:rPr>
          <w:rFonts w:asciiTheme="minorHAnsi" w:hAnsiTheme="minorHAnsi"/>
          <w:i/>
          <w:sz w:val="24"/>
        </w:rPr>
        <w:t xml:space="preserve"> </w:t>
      </w:r>
    </w:p>
    <w:p w:rsidR="00B33C63" w:rsidRPr="002F0838" w:rsidRDefault="00B33C63" w:rsidP="00B33C63">
      <w:pPr>
        <w:spacing w:after="120"/>
        <w:jc w:val="both"/>
        <w:rPr>
          <w:sz w:val="24"/>
          <w:szCs w:val="24"/>
        </w:rPr>
      </w:pPr>
      <w:r>
        <w:rPr>
          <w:sz w:val="24"/>
          <w:szCs w:val="24"/>
        </w:rPr>
        <w:t xml:space="preserve">This section addresses reimbursement, including the relevant </w:t>
      </w:r>
      <w:r w:rsidRPr="002F0838">
        <w:rPr>
          <w:sz w:val="24"/>
          <w:szCs w:val="24"/>
        </w:rPr>
        <w:t>administrative procedures and timelines</w:t>
      </w:r>
      <w:r>
        <w:rPr>
          <w:sz w:val="24"/>
          <w:szCs w:val="24"/>
        </w:rPr>
        <w:t>.</w:t>
      </w:r>
      <w:r>
        <w:rPr>
          <w:rStyle w:val="FootnoteReference"/>
          <w:sz w:val="24"/>
          <w:szCs w:val="24"/>
        </w:rPr>
        <w:footnoteReference w:id="17"/>
      </w:r>
      <w:r>
        <w:rPr>
          <w:sz w:val="24"/>
          <w:szCs w:val="24"/>
        </w:rPr>
        <w:t xml:space="preserve"> </w:t>
      </w:r>
    </w:p>
    <w:p w:rsidR="00B33C63" w:rsidRDefault="00B33C63" w:rsidP="00B33C63">
      <w:pPr>
        <w:spacing w:after="120"/>
        <w:jc w:val="both"/>
        <w:rPr>
          <w:sz w:val="24"/>
          <w:szCs w:val="24"/>
        </w:rPr>
      </w:pPr>
      <w:r>
        <w:rPr>
          <w:sz w:val="24"/>
          <w:szCs w:val="24"/>
        </w:rPr>
        <w:lastRenderedPageBreak/>
        <w:t>Member States can limit the rules on reimbursement only for so-called “overriding reasons of general interest” (Article 7(9) of the directive), as long as the limitations are necessary and proportionate and do not form a unjustified barrier to free movement. The EC report notes that Member States have not notified any decisions to limit reimbursement, but nevertheless some of them are doing so:</w:t>
      </w:r>
    </w:p>
    <w:p w:rsidR="00B33C63" w:rsidRDefault="00B33C63" w:rsidP="00B33C63">
      <w:pPr>
        <w:pStyle w:val="ListParagraph"/>
        <w:numPr>
          <w:ilvl w:val="0"/>
          <w:numId w:val="4"/>
        </w:numPr>
        <w:spacing w:after="120"/>
        <w:jc w:val="both"/>
        <w:rPr>
          <w:sz w:val="24"/>
          <w:szCs w:val="24"/>
        </w:rPr>
      </w:pPr>
      <w:r w:rsidRPr="001D59BB">
        <w:rPr>
          <w:sz w:val="24"/>
          <w:szCs w:val="24"/>
        </w:rPr>
        <w:t xml:space="preserve">“At least three” </w:t>
      </w:r>
      <w:r>
        <w:rPr>
          <w:sz w:val="24"/>
          <w:szCs w:val="24"/>
        </w:rPr>
        <w:t>Member State</w:t>
      </w:r>
      <w:r w:rsidRPr="001D59BB">
        <w:rPr>
          <w:sz w:val="24"/>
          <w:szCs w:val="24"/>
        </w:rPr>
        <w:t>s link the reimbursement tariff to the costs of private or non-contracted healthcare providers which means that the reimbursement rate to patients is lower</w:t>
      </w:r>
      <w:r>
        <w:rPr>
          <w:sz w:val="24"/>
          <w:szCs w:val="24"/>
        </w:rPr>
        <w:t xml:space="preserve"> than it should be</w:t>
      </w:r>
      <w:r w:rsidRPr="001D59BB">
        <w:rPr>
          <w:sz w:val="24"/>
          <w:szCs w:val="24"/>
        </w:rPr>
        <w:t xml:space="preserve">.  </w:t>
      </w:r>
    </w:p>
    <w:p w:rsidR="00B33C63" w:rsidRDefault="00B33C63" w:rsidP="00B33C63">
      <w:pPr>
        <w:pStyle w:val="ListParagraph"/>
        <w:numPr>
          <w:ilvl w:val="0"/>
          <w:numId w:val="4"/>
        </w:numPr>
        <w:spacing w:after="120"/>
        <w:jc w:val="both"/>
        <w:rPr>
          <w:sz w:val="24"/>
          <w:szCs w:val="24"/>
        </w:rPr>
      </w:pPr>
      <w:r>
        <w:rPr>
          <w:sz w:val="24"/>
          <w:szCs w:val="24"/>
        </w:rPr>
        <w:t>Three Member States require patients to demonstrate why it is medically necessary to go abroad for treatment.</w:t>
      </w:r>
    </w:p>
    <w:p w:rsidR="00B33C63" w:rsidRDefault="00B33C63" w:rsidP="00B33C63">
      <w:pPr>
        <w:pStyle w:val="ListParagraph"/>
        <w:numPr>
          <w:ilvl w:val="0"/>
          <w:numId w:val="4"/>
        </w:numPr>
        <w:spacing w:after="120"/>
        <w:jc w:val="both"/>
        <w:rPr>
          <w:sz w:val="24"/>
          <w:szCs w:val="24"/>
        </w:rPr>
      </w:pPr>
      <w:r>
        <w:rPr>
          <w:sz w:val="24"/>
          <w:szCs w:val="24"/>
        </w:rPr>
        <w:t xml:space="preserve">Five Member States ask for a referral from a professional in the home country. (Member States can ask for a referral if that is the normal practice of the national healthcare system, but according to EU rules they should recognise the qualifications of equivalent professionals in other Member States.) </w:t>
      </w:r>
    </w:p>
    <w:p w:rsidR="00B33C63" w:rsidRDefault="00B33C63" w:rsidP="00B33C63">
      <w:pPr>
        <w:pStyle w:val="ListParagraph"/>
        <w:numPr>
          <w:ilvl w:val="0"/>
          <w:numId w:val="4"/>
        </w:numPr>
        <w:spacing w:after="120"/>
        <w:jc w:val="both"/>
        <w:rPr>
          <w:sz w:val="24"/>
          <w:szCs w:val="24"/>
        </w:rPr>
      </w:pPr>
      <w:r>
        <w:rPr>
          <w:sz w:val="24"/>
          <w:szCs w:val="24"/>
        </w:rPr>
        <w:t>“At least four” Member States require patients to provide a sworn translation of invoices.</w:t>
      </w:r>
    </w:p>
    <w:p w:rsidR="00B33C63" w:rsidRDefault="00B33C63" w:rsidP="00B33C63">
      <w:pPr>
        <w:pStyle w:val="ListParagraph"/>
        <w:numPr>
          <w:ilvl w:val="0"/>
          <w:numId w:val="4"/>
        </w:numPr>
        <w:spacing w:after="120"/>
        <w:jc w:val="both"/>
        <w:rPr>
          <w:sz w:val="24"/>
          <w:szCs w:val="24"/>
        </w:rPr>
      </w:pPr>
      <w:r>
        <w:rPr>
          <w:sz w:val="24"/>
          <w:szCs w:val="24"/>
        </w:rPr>
        <w:t>One Member State requires patient to get all documents certified by their consul in the country of treatment.</w:t>
      </w:r>
    </w:p>
    <w:p w:rsidR="00B33C63" w:rsidRPr="00F263BC" w:rsidRDefault="00B33C63" w:rsidP="00B33C63">
      <w:pPr>
        <w:spacing w:after="120" w:line="252" w:lineRule="auto"/>
        <w:jc w:val="both"/>
        <w:rPr>
          <w:sz w:val="24"/>
          <w:szCs w:val="24"/>
        </w:rPr>
      </w:pPr>
      <w:r>
        <w:rPr>
          <w:sz w:val="24"/>
          <w:szCs w:val="24"/>
        </w:rPr>
        <w:t xml:space="preserve">Other issues include the definition of reasonable time for the processing of reimbursement. </w:t>
      </w:r>
      <w:r w:rsidRPr="00F263BC">
        <w:rPr>
          <w:sz w:val="24"/>
          <w:szCs w:val="24"/>
        </w:rPr>
        <w:t xml:space="preserve">The directive requires that reimbursements are processed within a “reasonable time” (which is not defined). The evaluative study shows that this time varies considerably, from less than 20 days to more than 80 days.  </w:t>
      </w:r>
    </w:p>
    <w:p w:rsidR="00B33C63" w:rsidRDefault="00B33C63" w:rsidP="00B33C63">
      <w:pPr>
        <w:spacing w:after="240" w:line="252" w:lineRule="auto"/>
        <w:jc w:val="both"/>
        <w:rPr>
          <w:sz w:val="24"/>
          <w:szCs w:val="24"/>
        </w:rPr>
      </w:pPr>
      <w:r>
        <w:rPr>
          <w:sz w:val="24"/>
          <w:szCs w:val="24"/>
        </w:rPr>
        <w:t>Furthermore, the directive applies to all healthcare services, including eHealth services. However, its application to eHealth is unclear because some Member States reimburse eHealth consultations and others do not. This relates to the question of how the so-called basket of benefits is defined.</w:t>
      </w:r>
      <w:r>
        <w:rPr>
          <w:rStyle w:val="FootnoteReference"/>
          <w:sz w:val="24"/>
          <w:szCs w:val="24"/>
        </w:rPr>
        <w:footnoteReference w:id="18"/>
      </w:r>
      <w:r>
        <w:rPr>
          <w:sz w:val="24"/>
          <w:szCs w:val="24"/>
        </w:rPr>
        <w:t xml:space="preserve"> </w:t>
      </w:r>
    </w:p>
    <w:p w:rsidR="00B33C63" w:rsidRPr="00017550" w:rsidRDefault="00B33C63" w:rsidP="00B33C63">
      <w:pPr>
        <w:pStyle w:val="Heading2"/>
        <w:spacing w:before="0" w:after="60"/>
        <w:rPr>
          <w:rFonts w:asciiTheme="minorHAnsi" w:hAnsiTheme="minorHAnsi"/>
          <w:i/>
          <w:sz w:val="24"/>
        </w:rPr>
      </w:pPr>
      <w:bookmarkStart w:id="12" w:name="_Toc442730508"/>
      <w:r w:rsidRPr="00017550">
        <w:rPr>
          <w:rFonts w:asciiTheme="minorHAnsi" w:hAnsiTheme="minorHAnsi"/>
          <w:i/>
          <w:sz w:val="24"/>
        </w:rPr>
        <w:t>Recognition of cross-border prescriptions</w:t>
      </w:r>
      <w:bookmarkEnd w:id="12"/>
      <w:r w:rsidRPr="00017550">
        <w:rPr>
          <w:rFonts w:asciiTheme="minorHAnsi" w:hAnsiTheme="minorHAnsi"/>
          <w:i/>
          <w:sz w:val="24"/>
        </w:rPr>
        <w:t xml:space="preserve"> </w:t>
      </w:r>
    </w:p>
    <w:p w:rsidR="00B33C63" w:rsidRDefault="00B33C63" w:rsidP="00B33C63">
      <w:pPr>
        <w:spacing w:after="120"/>
        <w:jc w:val="both"/>
        <w:rPr>
          <w:sz w:val="24"/>
          <w:szCs w:val="24"/>
        </w:rPr>
      </w:pPr>
      <w:r>
        <w:rPr>
          <w:sz w:val="24"/>
          <w:szCs w:val="24"/>
        </w:rPr>
        <w:t xml:space="preserve">Member States must as a rule recognise prescriptions </w:t>
      </w:r>
      <w:r w:rsidRPr="00EF5D0F">
        <w:rPr>
          <w:sz w:val="24"/>
          <w:szCs w:val="24"/>
        </w:rPr>
        <w:t xml:space="preserve">issued abroad. Implementing legislation  was adopted in December 2012 for the recognition of prescriptions and measures to enable health professionals to verify the authenticity of prescriptions issued in other </w:t>
      </w:r>
      <w:r>
        <w:rPr>
          <w:sz w:val="24"/>
          <w:szCs w:val="24"/>
        </w:rPr>
        <w:t>Member State</w:t>
      </w:r>
      <w:r w:rsidRPr="00EF5D0F">
        <w:rPr>
          <w:sz w:val="24"/>
          <w:szCs w:val="24"/>
        </w:rPr>
        <w:t>s</w:t>
      </w:r>
      <w:r>
        <w:rPr>
          <w:sz w:val="24"/>
          <w:szCs w:val="24"/>
        </w:rPr>
        <w:t xml:space="preserve">, </w:t>
      </w:r>
      <w:r w:rsidRPr="00EF5D0F">
        <w:rPr>
          <w:sz w:val="24"/>
          <w:szCs w:val="24"/>
        </w:rPr>
        <w:t xml:space="preserve"> </w:t>
      </w:r>
      <w:r>
        <w:rPr>
          <w:sz w:val="24"/>
          <w:szCs w:val="24"/>
        </w:rPr>
        <w:t>including a list of contents to be included in cross-border prescriptions.</w:t>
      </w:r>
      <w:r>
        <w:rPr>
          <w:rStyle w:val="FootnoteReference"/>
          <w:sz w:val="24"/>
          <w:szCs w:val="24"/>
        </w:rPr>
        <w:footnoteReference w:id="19"/>
      </w:r>
      <w:r>
        <w:rPr>
          <w:sz w:val="24"/>
          <w:szCs w:val="24"/>
        </w:rPr>
        <w:t xml:space="preserve"> </w:t>
      </w:r>
      <w:r w:rsidRPr="00EF5D0F">
        <w:rPr>
          <w:sz w:val="24"/>
          <w:szCs w:val="24"/>
        </w:rPr>
        <w:t>To avoid confusion, prescriptions should be made using the common name</w:t>
      </w:r>
      <w:r>
        <w:rPr>
          <w:rStyle w:val="FootnoteReference"/>
          <w:sz w:val="24"/>
          <w:szCs w:val="24"/>
        </w:rPr>
        <w:footnoteReference w:id="20"/>
      </w:r>
      <w:r w:rsidRPr="00EF5D0F">
        <w:rPr>
          <w:sz w:val="24"/>
          <w:szCs w:val="24"/>
        </w:rPr>
        <w:t xml:space="preserve"> </w:t>
      </w:r>
      <w:r>
        <w:rPr>
          <w:sz w:val="24"/>
          <w:szCs w:val="24"/>
        </w:rPr>
        <w:t>r</w:t>
      </w:r>
      <w:r w:rsidRPr="00EF5D0F">
        <w:rPr>
          <w:sz w:val="24"/>
          <w:szCs w:val="24"/>
        </w:rPr>
        <w:t xml:space="preserve">ather than the brand name of the medicine (with the exception of biological medicines, for which both names must be included). </w:t>
      </w:r>
    </w:p>
    <w:p w:rsidR="00B33C63" w:rsidRDefault="00B33C63" w:rsidP="00B33C63">
      <w:pPr>
        <w:spacing w:after="240"/>
        <w:jc w:val="both"/>
        <w:rPr>
          <w:sz w:val="24"/>
          <w:szCs w:val="24"/>
        </w:rPr>
      </w:pPr>
      <w:r w:rsidRPr="00EF5D0F">
        <w:rPr>
          <w:sz w:val="24"/>
          <w:szCs w:val="24"/>
        </w:rPr>
        <w:lastRenderedPageBreak/>
        <w:t>It is important to be aware that the Directive does not affect national pricing and reimbursement rules.</w:t>
      </w:r>
      <w:r>
        <w:rPr>
          <w:sz w:val="24"/>
          <w:szCs w:val="24"/>
        </w:rPr>
        <w:t xml:space="preserve"> Thus, if the medicine prescribed abroad is not reimbursed in the home country, the home country is not required to reimburse it under the directive. Other factors, such as shortages, also affect the availability of medicines across the EU. Thus, patients and prescribers should be aware whether the prescribed medicine is reimbursed and will be available to the patient in the home country. </w:t>
      </w:r>
    </w:p>
    <w:p w:rsidR="00B33C63" w:rsidRPr="00BB5523" w:rsidRDefault="00B33C63" w:rsidP="00B33C63">
      <w:pPr>
        <w:spacing w:after="120"/>
        <w:jc w:val="both"/>
        <w:rPr>
          <w:b/>
          <w:color w:val="002060"/>
          <w:sz w:val="24"/>
          <w:szCs w:val="24"/>
        </w:rPr>
      </w:pPr>
      <w:r w:rsidRPr="00BB5523">
        <w:rPr>
          <w:b/>
          <w:color w:val="002060"/>
          <w:sz w:val="24"/>
          <w:szCs w:val="24"/>
        </w:rPr>
        <w:t>EPF recommendation:</w:t>
      </w:r>
    </w:p>
    <w:p w:rsidR="00B33C63" w:rsidRPr="00B804F9" w:rsidRDefault="00B33C63" w:rsidP="0097392A">
      <w:pPr>
        <w:pStyle w:val="ListParagraph"/>
        <w:numPr>
          <w:ilvl w:val="0"/>
          <w:numId w:val="12"/>
        </w:numPr>
        <w:spacing w:after="80"/>
        <w:ind w:left="425" w:hanging="357"/>
        <w:contextualSpacing w:val="0"/>
        <w:jc w:val="both"/>
        <w:rPr>
          <w:color w:val="002060"/>
          <w:sz w:val="24"/>
          <w:szCs w:val="24"/>
        </w:rPr>
      </w:pPr>
      <w:r w:rsidRPr="00B804F9">
        <w:rPr>
          <w:color w:val="002060"/>
          <w:sz w:val="24"/>
          <w:szCs w:val="24"/>
        </w:rPr>
        <w:t>Member States should immediately make available comprehensive and understandable information concerning exactly which treatments are subject to prior authorisation. This should include information on the criteria applied and the procedures involved. Patient queries received by the NCPs could be a useful guide to identifying information needs and frequently asked questions</w:t>
      </w:r>
    </w:p>
    <w:p w:rsidR="00B33C63" w:rsidRPr="00B804F9" w:rsidRDefault="00B33C63" w:rsidP="0097392A">
      <w:pPr>
        <w:pStyle w:val="ListParagraph"/>
        <w:numPr>
          <w:ilvl w:val="0"/>
          <w:numId w:val="12"/>
        </w:numPr>
        <w:spacing w:after="80"/>
        <w:ind w:left="425" w:hanging="357"/>
        <w:contextualSpacing w:val="0"/>
        <w:jc w:val="both"/>
        <w:rPr>
          <w:color w:val="002060"/>
          <w:sz w:val="24"/>
          <w:szCs w:val="24"/>
        </w:rPr>
      </w:pPr>
      <w:r w:rsidRPr="00B804F9">
        <w:rPr>
          <w:color w:val="002060"/>
          <w:sz w:val="24"/>
          <w:szCs w:val="24"/>
        </w:rPr>
        <w:t>Member States should immediately stop applying arbitrary or excessive barriers to reimbursement under the directive. Such barriers are in stark contrast with the purpose and spirit of the Directive.</w:t>
      </w:r>
    </w:p>
    <w:p w:rsidR="00B33C63" w:rsidRPr="00B804F9" w:rsidRDefault="00B33C63" w:rsidP="0097392A">
      <w:pPr>
        <w:pStyle w:val="ListParagraph"/>
        <w:numPr>
          <w:ilvl w:val="0"/>
          <w:numId w:val="12"/>
        </w:numPr>
        <w:spacing w:after="80"/>
        <w:ind w:left="425" w:hanging="357"/>
        <w:contextualSpacing w:val="0"/>
        <w:jc w:val="both"/>
        <w:rPr>
          <w:color w:val="002060"/>
          <w:sz w:val="24"/>
          <w:szCs w:val="24"/>
        </w:rPr>
      </w:pPr>
      <w:r w:rsidRPr="00B804F9">
        <w:rPr>
          <w:color w:val="002060"/>
          <w:sz w:val="24"/>
          <w:szCs w:val="24"/>
        </w:rPr>
        <w:t xml:space="preserve">Member States should implement </w:t>
      </w:r>
      <w:r w:rsidRPr="00B804F9">
        <w:rPr>
          <w:i/>
          <w:color w:val="002060"/>
          <w:sz w:val="24"/>
          <w:szCs w:val="24"/>
        </w:rPr>
        <w:t>direct payments</w:t>
      </w:r>
      <w:r w:rsidRPr="00B804F9">
        <w:rPr>
          <w:color w:val="002060"/>
          <w:sz w:val="24"/>
          <w:szCs w:val="24"/>
        </w:rPr>
        <w:t xml:space="preserve"> across borders using the existing systems. </w:t>
      </w:r>
      <w:r w:rsidRPr="00B804F9">
        <w:rPr>
          <w:i/>
          <w:color w:val="002060"/>
          <w:sz w:val="24"/>
          <w:szCs w:val="24"/>
        </w:rPr>
        <w:t>Prior notification</w:t>
      </w:r>
      <w:r w:rsidRPr="00B804F9">
        <w:rPr>
          <w:color w:val="002060"/>
          <w:sz w:val="24"/>
          <w:szCs w:val="24"/>
        </w:rPr>
        <w:t xml:space="preserve"> should be in any case available for any patients who wish to use it.</w:t>
      </w:r>
    </w:p>
    <w:p w:rsidR="00B33C63" w:rsidRPr="00B804F9" w:rsidRDefault="00B33C63" w:rsidP="0097392A">
      <w:pPr>
        <w:pStyle w:val="ListParagraph"/>
        <w:numPr>
          <w:ilvl w:val="0"/>
          <w:numId w:val="12"/>
        </w:numPr>
        <w:spacing w:after="80"/>
        <w:ind w:left="425" w:hanging="357"/>
        <w:contextualSpacing w:val="0"/>
        <w:jc w:val="both"/>
        <w:rPr>
          <w:color w:val="002060"/>
          <w:sz w:val="24"/>
          <w:szCs w:val="24"/>
        </w:rPr>
      </w:pPr>
      <w:r w:rsidRPr="00B804F9">
        <w:rPr>
          <w:color w:val="002060"/>
          <w:sz w:val="24"/>
          <w:szCs w:val="24"/>
        </w:rPr>
        <w:t>Member States should use the opportunity to cover extra costs beyond the strict reimbursed amount, in particular costs related to disability or travel in certain cases. A transparent, objective list of criteria for coverage of such costs should be drawn up in cooperation with stakeholders including patient organisations. This should be available via the NCP.</w:t>
      </w:r>
    </w:p>
    <w:p w:rsidR="00B33C63" w:rsidRPr="00B804F9" w:rsidRDefault="00B33C63" w:rsidP="0097392A">
      <w:pPr>
        <w:pStyle w:val="ListParagraph"/>
        <w:numPr>
          <w:ilvl w:val="0"/>
          <w:numId w:val="12"/>
        </w:numPr>
        <w:spacing w:after="80"/>
        <w:ind w:left="425" w:hanging="357"/>
        <w:contextualSpacing w:val="0"/>
        <w:jc w:val="both"/>
        <w:rPr>
          <w:color w:val="002060"/>
          <w:sz w:val="24"/>
          <w:szCs w:val="24"/>
        </w:rPr>
      </w:pPr>
      <w:r w:rsidRPr="00B804F9">
        <w:rPr>
          <w:color w:val="002060"/>
          <w:sz w:val="24"/>
          <w:szCs w:val="24"/>
        </w:rPr>
        <w:t xml:space="preserve">In the longer term, a mechanism should be created for providing financial support to provide cover for patients/families who cannot access needed treatment for cost reasons – for example where they cannot afford to bridge the difference between the national reimbursement tariff and the actual costs of the treatment abroad. </w:t>
      </w:r>
    </w:p>
    <w:p w:rsidR="00B33C63" w:rsidRPr="00B804F9" w:rsidRDefault="00B33C63" w:rsidP="0097392A">
      <w:pPr>
        <w:pStyle w:val="ListParagraph"/>
        <w:numPr>
          <w:ilvl w:val="0"/>
          <w:numId w:val="12"/>
        </w:numPr>
        <w:spacing w:after="80"/>
        <w:ind w:left="425" w:hanging="357"/>
        <w:contextualSpacing w:val="0"/>
        <w:jc w:val="both"/>
        <w:rPr>
          <w:color w:val="002060"/>
          <w:sz w:val="24"/>
          <w:szCs w:val="24"/>
        </w:rPr>
      </w:pPr>
      <w:r w:rsidRPr="00B804F9">
        <w:rPr>
          <w:color w:val="002060"/>
          <w:sz w:val="24"/>
          <w:szCs w:val="24"/>
        </w:rPr>
        <w:t xml:space="preserve">As part of the formal EU impact assessment, evidence should be collected on the positive or negative </w:t>
      </w:r>
      <w:r w:rsidRPr="00B804F9">
        <w:rPr>
          <w:i/>
          <w:color w:val="002060"/>
          <w:sz w:val="24"/>
          <w:szCs w:val="24"/>
        </w:rPr>
        <w:t xml:space="preserve">impact of the </w:t>
      </w:r>
      <w:r w:rsidR="00B804F9" w:rsidRPr="00B804F9">
        <w:rPr>
          <w:i/>
          <w:color w:val="002060"/>
          <w:sz w:val="24"/>
          <w:szCs w:val="24"/>
        </w:rPr>
        <w:t>D</w:t>
      </w:r>
      <w:r w:rsidRPr="00B804F9">
        <w:rPr>
          <w:i/>
          <w:color w:val="002060"/>
          <w:sz w:val="24"/>
          <w:szCs w:val="24"/>
        </w:rPr>
        <w:t>irective on access and health inequalities</w:t>
      </w:r>
      <w:r w:rsidRPr="00B804F9">
        <w:rPr>
          <w:color w:val="002060"/>
          <w:sz w:val="24"/>
          <w:szCs w:val="24"/>
        </w:rPr>
        <w:t>, with specific considerations for patients with chronic conditions and people with disabilities.</w:t>
      </w:r>
    </w:p>
    <w:p w:rsidR="00B33C63" w:rsidRPr="00B804F9" w:rsidRDefault="00B33C63" w:rsidP="00B33C63">
      <w:pPr>
        <w:pStyle w:val="ListParagraph"/>
        <w:numPr>
          <w:ilvl w:val="0"/>
          <w:numId w:val="12"/>
        </w:numPr>
        <w:spacing w:after="120"/>
        <w:ind w:left="425" w:hanging="357"/>
        <w:contextualSpacing w:val="0"/>
        <w:jc w:val="both"/>
        <w:rPr>
          <w:color w:val="002060"/>
          <w:sz w:val="24"/>
          <w:szCs w:val="24"/>
        </w:rPr>
      </w:pPr>
      <w:r w:rsidRPr="00B804F9">
        <w:rPr>
          <w:color w:val="002060"/>
          <w:sz w:val="24"/>
          <w:szCs w:val="24"/>
        </w:rPr>
        <w:t xml:space="preserve">Data should be collected on treatments that are authorised by the European Medicines Agency but not reimbursed or otherwise not available in some Member States, with the aim to effect policy changes for equity of access. </w:t>
      </w:r>
    </w:p>
    <w:p w:rsidR="00A866A0" w:rsidRDefault="00A866A0" w:rsidP="00ED38EF">
      <w:pPr>
        <w:spacing w:after="120" w:line="252" w:lineRule="auto"/>
        <w:jc w:val="both"/>
        <w:rPr>
          <w:b/>
          <w:sz w:val="24"/>
          <w:szCs w:val="24"/>
        </w:rPr>
      </w:pPr>
    </w:p>
    <w:p w:rsidR="00AF3DD8" w:rsidRPr="00B33C63" w:rsidRDefault="00AF3DD8" w:rsidP="00B33C63">
      <w:pPr>
        <w:pStyle w:val="Heading1"/>
        <w:numPr>
          <w:ilvl w:val="1"/>
          <w:numId w:val="1"/>
        </w:numPr>
        <w:spacing w:before="0" w:after="120" w:line="240" w:lineRule="auto"/>
        <w:rPr>
          <w:b/>
          <w:color w:val="17365D" w:themeColor="text2" w:themeShade="BF"/>
          <w:sz w:val="28"/>
          <w:szCs w:val="24"/>
        </w:rPr>
      </w:pPr>
      <w:bookmarkStart w:id="13" w:name="_Toc442730509"/>
      <w:r w:rsidRPr="00B33C63">
        <w:rPr>
          <w:b/>
          <w:color w:val="17365D" w:themeColor="text2" w:themeShade="BF"/>
          <w:sz w:val="28"/>
          <w:szCs w:val="24"/>
        </w:rPr>
        <w:lastRenderedPageBreak/>
        <w:t>Patients with rare diseases</w:t>
      </w:r>
      <w:bookmarkEnd w:id="13"/>
    </w:p>
    <w:p w:rsidR="00AF3DD8" w:rsidRDefault="00AF3DD8" w:rsidP="00AF3DD8">
      <w:pPr>
        <w:spacing w:after="120"/>
        <w:jc w:val="both"/>
        <w:rPr>
          <w:sz w:val="24"/>
          <w:szCs w:val="24"/>
        </w:rPr>
      </w:pPr>
      <w:r w:rsidRPr="009E1E53">
        <w:rPr>
          <w:sz w:val="24"/>
          <w:szCs w:val="24"/>
        </w:rPr>
        <w:t>Patients</w:t>
      </w:r>
      <w:r>
        <w:rPr>
          <w:sz w:val="24"/>
          <w:szCs w:val="24"/>
        </w:rPr>
        <w:t xml:space="preserve"> </w:t>
      </w:r>
      <w:r w:rsidRPr="009E1E53">
        <w:rPr>
          <w:sz w:val="24"/>
          <w:szCs w:val="24"/>
        </w:rPr>
        <w:t xml:space="preserve">with </w:t>
      </w:r>
      <w:r>
        <w:rPr>
          <w:sz w:val="24"/>
          <w:szCs w:val="24"/>
        </w:rPr>
        <w:t xml:space="preserve">(suspected) </w:t>
      </w:r>
      <w:r w:rsidRPr="009E1E53">
        <w:rPr>
          <w:sz w:val="24"/>
          <w:szCs w:val="24"/>
        </w:rPr>
        <w:t xml:space="preserve">rare diseases </w:t>
      </w:r>
      <w:r>
        <w:rPr>
          <w:sz w:val="24"/>
          <w:szCs w:val="24"/>
        </w:rPr>
        <w:t xml:space="preserve">and their families are in a particularly vulnerable position. </w:t>
      </w:r>
      <w:r w:rsidR="00017550" w:rsidRPr="00017550">
        <w:rPr>
          <w:sz w:val="24"/>
          <w:szCs w:val="24"/>
        </w:rPr>
        <w:t>A global lack of expertise is the major reason for patients with rare diseases having to seek cross-border healthcare.</w:t>
      </w:r>
      <w:r w:rsidR="00017550">
        <w:rPr>
          <w:sz w:val="24"/>
          <w:szCs w:val="24"/>
        </w:rPr>
        <w:t xml:space="preserve"> </w:t>
      </w:r>
      <w:r w:rsidR="00017550" w:rsidRPr="00017550">
        <w:rPr>
          <w:sz w:val="24"/>
          <w:szCs w:val="24"/>
        </w:rPr>
        <w:t xml:space="preserve">Time is a particular concern, </w:t>
      </w:r>
      <w:r w:rsidR="00017550">
        <w:rPr>
          <w:sz w:val="24"/>
          <w:szCs w:val="24"/>
        </w:rPr>
        <w:t xml:space="preserve">as </w:t>
      </w:r>
      <w:r w:rsidR="00017550" w:rsidRPr="00017550">
        <w:rPr>
          <w:sz w:val="24"/>
          <w:szCs w:val="24"/>
        </w:rPr>
        <w:t>patients often undergo a number of consultations before being diagnosed correctly</w:t>
      </w:r>
      <w:r w:rsidR="00017550">
        <w:rPr>
          <w:sz w:val="24"/>
          <w:szCs w:val="24"/>
        </w:rPr>
        <w:t>.</w:t>
      </w:r>
    </w:p>
    <w:p w:rsidR="0073038B" w:rsidRPr="0073038B" w:rsidRDefault="0073038B" w:rsidP="0073038B">
      <w:pPr>
        <w:spacing w:after="120"/>
        <w:jc w:val="both"/>
        <w:rPr>
          <w:sz w:val="24"/>
          <w:szCs w:val="24"/>
        </w:rPr>
      </w:pPr>
      <w:r>
        <w:rPr>
          <w:sz w:val="24"/>
          <w:szCs w:val="24"/>
        </w:rPr>
        <w:t xml:space="preserve">Because the </w:t>
      </w:r>
      <w:r w:rsidRPr="0073038B">
        <w:rPr>
          <w:sz w:val="24"/>
          <w:szCs w:val="24"/>
        </w:rPr>
        <w:t xml:space="preserve">Directive </w:t>
      </w:r>
      <w:r>
        <w:rPr>
          <w:sz w:val="24"/>
          <w:szCs w:val="24"/>
        </w:rPr>
        <w:t xml:space="preserve">is based on the nationally available healthcare (the </w:t>
      </w:r>
      <w:r w:rsidR="00B33C63">
        <w:rPr>
          <w:sz w:val="24"/>
          <w:szCs w:val="24"/>
        </w:rPr>
        <w:t>“</w:t>
      </w:r>
      <w:r>
        <w:rPr>
          <w:sz w:val="24"/>
          <w:szCs w:val="24"/>
        </w:rPr>
        <w:t>benefits basket</w:t>
      </w:r>
      <w:r w:rsidR="00B33C63">
        <w:rPr>
          <w:sz w:val="24"/>
          <w:szCs w:val="24"/>
        </w:rPr>
        <w:t>”</w:t>
      </w:r>
      <w:r>
        <w:rPr>
          <w:sz w:val="24"/>
          <w:szCs w:val="24"/>
        </w:rPr>
        <w:t xml:space="preserve">), it is not necessarily the best path for treatment for rare diseases. For this reason the directive says member states should better exploit the possibilities offered by the </w:t>
      </w:r>
      <w:r w:rsidRPr="0073038B">
        <w:rPr>
          <w:sz w:val="24"/>
          <w:szCs w:val="24"/>
        </w:rPr>
        <w:t>existing Social Security Regulation</w:t>
      </w:r>
      <w:r>
        <w:rPr>
          <w:sz w:val="24"/>
          <w:szCs w:val="24"/>
        </w:rPr>
        <w:t>s</w:t>
      </w:r>
      <w:r w:rsidR="00EF6E68">
        <w:rPr>
          <w:rStyle w:val="FootnoteReference"/>
          <w:sz w:val="24"/>
          <w:szCs w:val="24"/>
        </w:rPr>
        <w:footnoteReference w:id="21"/>
      </w:r>
      <w:r w:rsidRPr="0073038B">
        <w:rPr>
          <w:sz w:val="24"/>
          <w:szCs w:val="24"/>
        </w:rPr>
        <w:t xml:space="preserve"> for the referral of patients abroad in cases where diagnosis and treatment is not available in the home country.</w:t>
      </w:r>
    </w:p>
    <w:p w:rsidR="0073038B" w:rsidRPr="0073038B" w:rsidRDefault="0073038B" w:rsidP="0073038B">
      <w:pPr>
        <w:spacing w:after="120"/>
        <w:jc w:val="both"/>
        <w:rPr>
          <w:sz w:val="24"/>
          <w:szCs w:val="24"/>
        </w:rPr>
      </w:pPr>
      <w:r>
        <w:rPr>
          <w:sz w:val="24"/>
          <w:szCs w:val="24"/>
        </w:rPr>
        <w:t xml:space="preserve">Furthermore, if </w:t>
      </w:r>
      <w:r w:rsidRPr="0073038B">
        <w:rPr>
          <w:sz w:val="24"/>
          <w:szCs w:val="24"/>
        </w:rPr>
        <w:t xml:space="preserve">a patient is suspected to be affected by a rare disease and applies for prior authorisation, a clinical evaluation </w:t>
      </w:r>
      <w:r>
        <w:rPr>
          <w:sz w:val="24"/>
          <w:szCs w:val="24"/>
        </w:rPr>
        <w:t xml:space="preserve">should </w:t>
      </w:r>
      <w:r w:rsidRPr="0073038B">
        <w:rPr>
          <w:sz w:val="24"/>
          <w:szCs w:val="24"/>
        </w:rPr>
        <w:t>be carried out</w:t>
      </w:r>
      <w:r>
        <w:rPr>
          <w:sz w:val="24"/>
          <w:szCs w:val="24"/>
        </w:rPr>
        <w:t xml:space="preserve"> and scientific advice can be requested if no expert can be found in the home country.</w:t>
      </w:r>
    </w:p>
    <w:p w:rsidR="0073038B" w:rsidRDefault="0073038B" w:rsidP="0073038B">
      <w:pPr>
        <w:spacing w:after="120"/>
        <w:jc w:val="both"/>
        <w:rPr>
          <w:sz w:val="24"/>
          <w:szCs w:val="24"/>
        </w:rPr>
      </w:pPr>
      <w:r w:rsidRPr="0073038B">
        <w:rPr>
          <w:sz w:val="24"/>
          <w:szCs w:val="24"/>
        </w:rPr>
        <w:t>These provisions are rather vague, so it is important that patient organisations draw the attention of the national authorities to the specific problems faced by patients with rare diseases. The authorities should do everything they can to facilitate those patients’ access to expert diagnosis and treatment.</w:t>
      </w:r>
    </w:p>
    <w:p w:rsidR="0052168D" w:rsidRPr="007D7162" w:rsidRDefault="0052168D" w:rsidP="009E0522">
      <w:pPr>
        <w:spacing w:after="120"/>
        <w:jc w:val="both"/>
        <w:rPr>
          <w:sz w:val="24"/>
          <w:szCs w:val="24"/>
        </w:rPr>
      </w:pPr>
      <w:r w:rsidRPr="007D7162">
        <w:rPr>
          <w:sz w:val="24"/>
          <w:szCs w:val="24"/>
        </w:rPr>
        <w:t xml:space="preserve">Although patients’ need for treatment should be assessed on an individual basis, there is a need for more clarity on what constitutes “undue delay”. </w:t>
      </w:r>
      <w:r w:rsidR="00F055B6">
        <w:rPr>
          <w:sz w:val="24"/>
          <w:szCs w:val="24"/>
        </w:rPr>
        <w:t xml:space="preserve">At the moment, there is no common understanding of what constitutes “undue delay” and member states have various approaches to this.  </w:t>
      </w:r>
    </w:p>
    <w:p w:rsidR="00017550" w:rsidRPr="00B33C63" w:rsidRDefault="00017550" w:rsidP="009E0522">
      <w:pPr>
        <w:spacing w:after="120"/>
        <w:jc w:val="both"/>
        <w:rPr>
          <w:b/>
          <w:color w:val="002060"/>
          <w:sz w:val="24"/>
          <w:szCs w:val="24"/>
        </w:rPr>
      </w:pPr>
      <w:r w:rsidRPr="00B33C63">
        <w:rPr>
          <w:b/>
          <w:color w:val="002060"/>
          <w:sz w:val="24"/>
          <w:szCs w:val="24"/>
        </w:rPr>
        <w:t>EPF recommendations:</w:t>
      </w:r>
    </w:p>
    <w:p w:rsidR="006B6933" w:rsidRPr="00B804F9" w:rsidRDefault="00017550" w:rsidP="0097392A">
      <w:pPr>
        <w:pStyle w:val="ListParagraph"/>
        <w:numPr>
          <w:ilvl w:val="0"/>
          <w:numId w:val="18"/>
        </w:numPr>
        <w:spacing w:after="80"/>
        <w:ind w:left="425" w:hanging="357"/>
        <w:contextualSpacing w:val="0"/>
        <w:jc w:val="both"/>
        <w:rPr>
          <w:color w:val="002060"/>
          <w:sz w:val="24"/>
          <w:szCs w:val="24"/>
        </w:rPr>
      </w:pPr>
      <w:r w:rsidRPr="00B804F9">
        <w:rPr>
          <w:color w:val="002060"/>
          <w:sz w:val="24"/>
          <w:szCs w:val="24"/>
        </w:rPr>
        <w:t xml:space="preserve">In cases of (suspected) rare diseases, where the treatment in question is not within the basket of benefits, Member States should </w:t>
      </w:r>
      <w:r w:rsidR="00B804F9">
        <w:rPr>
          <w:color w:val="002060"/>
          <w:sz w:val="24"/>
          <w:szCs w:val="24"/>
        </w:rPr>
        <w:t xml:space="preserve">always apply </w:t>
      </w:r>
      <w:r w:rsidRPr="00B804F9">
        <w:rPr>
          <w:color w:val="002060"/>
          <w:sz w:val="24"/>
          <w:szCs w:val="24"/>
        </w:rPr>
        <w:t xml:space="preserve">the EU Regulation 883/2004 to ensure access to appropriate expert diagnosis and treatment. </w:t>
      </w:r>
      <w:r w:rsidR="00B804F9">
        <w:rPr>
          <w:color w:val="002060"/>
          <w:sz w:val="24"/>
          <w:szCs w:val="24"/>
        </w:rPr>
        <w:t xml:space="preserve">Patients and the public should be clearly advised of this option in advance. </w:t>
      </w:r>
    </w:p>
    <w:p w:rsidR="00F055B6" w:rsidRPr="00B804F9" w:rsidRDefault="00F055B6" w:rsidP="00120B19">
      <w:pPr>
        <w:pStyle w:val="ListParagraph"/>
        <w:numPr>
          <w:ilvl w:val="0"/>
          <w:numId w:val="18"/>
        </w:numPr>
        <w:spacing w:after="120"/>
        <w:ind w:left="426"/>
        <w:jc w:val="both"/>
        <w:rPr>
          <w:color w:val="002060"/>
          <w:sz w:val="24"/>
          <w:szCs w:val="24"/>
        </w:rPr>
      </w:pPr>
      <w:r w:rsidRPr="00B804F9">
        <w:rPr>
          <w:color w:val="002060"/>
          <w:sz w:val="24"/>
          <w:szCs w:val="24"/>
        </w:rPr>
        <w:t>There should be a better understanding across the EU on what constitutes “undue delay” for patients. This should be done with the involvement of patient organisations.</w:t>
      </w:r>
    </w:p>
    <w:p w:rsidR="00017550" w:rsidRPr="0097392A" w:rsidRDefault="00B33C63" w:rsidP="0097392A">
      <w:pPr>
        <w:spacing w:after="120"/>
        <w:jc w:val="both"/>
        <w:rPr>
          <w:b/>
          <w:color w:val="C00000"/>
          <w:sz w:val="24"/>
          <w:szCs w:val="24"/>
        </w:rPr>
      </w:pPr>
      <w:r w:rsidRPr="0097392A">
        <w:rPr>
          <w:b/>
          <w:color w:val="C00000"/>
          <w:sz w:val="24"/>
          <w:szCs w:val="24"/>
        </w:rPr>
        <w:t xml:space="preserve">Are you aware if the </w:t>
      </w:r>
      <w:r w:rsidR="00017550" w:rsidRPr="0097392A">
        <w:rPr>
          <w:b/>
          <w:color w:val="C00000"/>
          <w:sz w:val="24"/>
          <w:szCs w:val="24"/>
        </w:rPr>
        <w:t>Regulation</w:t>
      </w:r>
      <w:r w:rsidRPr="0097392A">
        <w:rPr>
          <w:b/>
          <w:color w:val="C00000"/>
          <w:sz w:val="24"/>
          <w:szCs w:val="24"/>
        </w:rPr>
        <w:t xml:space="preserve"> is being used</w:t>
      </w:r>
      <w:r w:rsidR="00017550" w:rsidRPr="0097392A">
        <w:rPr>
          <w:b/>
          <w:color w:val="C00000"/>
          <w:sz w:val="24"/>
          <w:szCs w:val="24"/>
        </w:rPr>
        <w:t xml:space="preserve"> correctly </w:t>
      </w:r>
      <w:r w:rsidRPr="0097392A">
        <w:rPr>
          <w:b/>
          <w:color w:val="C00000"/>
          <w:sz w:val="24"/>
          <w:szCs w:val="24"/>
        </w:rPr>
        <w:t xml:space="preserve">in your country </w:t>
      </w:r>
      <w:r w:rsidR="00017550" w:rsidRPr="0097392A">
        <w:rPr>
          <w:b/>
          <w:color w:val="C00000"/>
          <w:sz w:val="24"/>
          <w:szCs w:val="24"/>
        </w:rPr>
        <w:t>to facilitate access for patients with (suspected) rare diseases?</w:t>
      </w:r>
    </w:p>
    <w:p w:rsidR="0073038B" w:rsidRPr="0097392A" w:rsidRDefault="00017550" w:rsidP="0097392A">
      <w:pPr>
        <w:spacing w:after="120"/>
        <w:jc w:val="both"/>
        <w:rPr>
          <w:b/>
          <w:color w:val="C00000"/>
          <w:sz w:val="24"/>
          <w:szCs w:val="24"/>
        </w:rPr>
      </w:pPr>
      <w:r w:rsidRPr="0097392A">
        <w:rPr>
          <w:b/>
          <w:color w:val="C00000"/>
          <w:sz w:val="24"/>
          <w:szCs w:val="24"/>
        </w:rPr>
        <w:t>If you represent a rare disease patient organisation, what is your main concern regarding cross-border healthcare? Do you believe the directive is relevant, or will you continue to rely on the Regulation?</w:t>
      </w:r>
      <w:r w:rsidR="0097392A">
        <w:rPr>
          <w:b/>
          <w:color w:val="C00000"/>
          <w:sz w:val="24"/>
          <w:szCs w:val="24"/>
        </w:rPr>
        <w:t xml:space="preserve"> </w:t>
      </w:r>
      <w:r w:rsidR="0073038B" w:rsidRPr="0097392A">
        <w:rPr>
          <w:b/>
          <w:color w:val="C00000"/>
          <w:sz w:val="24"/>
          <w:szCs w:val="24"/>
        </w:rPr>
        <w:t xml:space="preserve">Is the </w:t>
      </w:r>
      <w:r w:rsidR="0097392A">
        <w:rPr>
          <w:b/>
          <w:color w:val="C00000"/>
          <w:sz w:val="24"/>
          <w:szCs w:val="24"/>
        </w:rPr>
        <w:t>“</w:t>
      </w:r>
      <w:r w:rsidR="0073038B" w:rsidRPr="0097392A">
        <w:rPr>
          <w:b/>
          <w:color w:val="C00000"/>
          <w:sz w:val="24"/>
          <w:szCs w:val="24"/>
        </w:rPr>
        <w:t>right to have an individual assessment and a second opinion</w:t>
      </w:r>
      <w:r w:rsidR="0097392A">
        <w:rPr>
          <w:b/>
          <w:color w:val="C00000"/>
          <w:sz w:val="24"/>
          <w:szCs w:val="24"/>
        </w:rPr>
        <w:t>”</w:t>
      </w:r>
      <w:r w:rsidR="0073038B" w:rsidRPr="0097392A">
        <w:rPr>
          <w:b/>
          <w:color w:val="C00000"/>
          <w:sz w:val="24"/>
          <w:szCs w:val="24"/>
        </w:rPr>
        <w:t xml:space="preserve"> </w:t>
      </w:r>
      <w:r w:rsidR="0097392A">
        <w:rPr>
          <w:b/>
          <w:color w:val="C00000"/>
          <w:sz w:val="24"/>
          <w:szCs w:val="24"/>
        </w:rPr>
        <w:t>a problem</w:t>
      </w:r>
      <w:r w:rsidR="0073038B" w:rsidRPr="0097392A">
        <w:rPr>
          <w:b/>
          <w:color w:val="C00000"/>
          <w:sz w:val="24"/>
          <w:szCs w:val="24"/>
        </w:rPr>
        <w:t xml:space="preserve">, </w:t>
      </w:r>
      <w:r w:rsidR="0097392A">
        <w:rPr>
          <w:b/>
          <w:color w:val="C00000"/>
          <w:sz w:val="24"/>
          <w:szCs w:val="24"/>
        </w:rPr>
        <w:t>as far as you are aware</w:t>
      </w:r>
      <w:r w:rsidR="0073038B" w:rsidRPr="0097392A">
        <w:rPr>
          <w:b/>
          <w:color w:val="C00000"/>
          <w:sz w:val="24"/>
          <w:szCs w:val="24"/>
        </w:rPr>
        <w:t>?</w:t>
      </w:r>
    </w:p>
    <w:p w:rsidR="00166DC1" w:rsidRPr="00E37421" w:rsidRDefault="00166DC1" w:rsidP="00B33C63">
      <w:pPr>
        <w:pStyle w:val="Heading1"/>
        <w:numPr>
          <w:ilvl w:val="1"/>
          <w:numId w:val="28"/>
        </w:numPr>
        <w:spacing w:before="0" w:after="120" w:line="240" w:lineRule="auto"/>
        <w:rPr>
          <w:b/>
          <w:color w:val="17365D" w:themeColor="text2" w:themeShade="BF"/>
          <w:sz w:val="28"/>
          <w:szCs w:val="24"/>
        </w:rPr>
      </w:pPr>
      <w:bookmarkStart w:id="14" w:name="_Toc442730510"/>
      <w:r w:rsidRPr="00E37421">
        <w:rPr>
          <w:b/>
          <w:color w:val="17365D" w:themeColor="text2" w:themeShade="BF"/>
          <w:sz w:val="28"/>
          <w:szCs w:val="24"/>
        </w:rPr>
        <w:lastRenderedPageBreak/>
        <w:t>Safety and quality of care</w:t>
      </w:r>
      <w:bookmarkEnd w:id="14"/>
    </w:p>
    <w:p w:rsidR="00AE35BF" w:rsidRPr="00AE35BF" w:rsidRDefault="00E37421" w:rsidP="00AE35BF">
      <w:pPr>
        <w:spacing w:after="120"/>
        <w:jc w:val="both"/>
        <w:rPr>
          <w:sz w:val="24"/>
          <w:szCs w:val="24"/>
        </w:rPr>
      </w:pPr>
      <w:r>
        <w:rPr>
          <w:sz w:val="24"/>
          <w:szCs w:val="24"/>
        </w:rPr>
        <w:t>G</w:t>
      </w:r>
      <w:r w:rsidR="00AE35BF" w:rsidRPr="00AE35BF">
        <w:rPr>
          <w:sz w:val="24"/>
          <w:szCs w:val="24"/>
        </w:rPr>
        <w:t xml:space="preserve">ood quality of care </w:t>
      </w:r>
      <w:r w:rsidR="00732C12">
        <w:rPr>
          <w:sz w:val="24"/>
          <w:szCs w:val="24"/>
        </w:rPr>
        <w:t>is a</w:t>
      </w:r>
      <w:r w:rsidR="00AE35BF" w:rsidRPr="00AE35BF">
        <w:rPr>
          <w:sz w:val="24"/>
          <w:szCs w:val="24"/>
        </w:rPr>
        <w:t xml:space="preserve"> fundamental patients’ right</w:t>
      </w:r>
      <w:r w:rsidR="00732C12">
        <w:rPr>
          <w:sz w:val="24"/>
          <w:szCs w:val="24"/>
        </w:rPr>
        <w:t xml:space="preserve">, </w:t>
      </w:r>
      <w:r w:rsidR="00AE35BF" w:rsidRPr="00AE35BF">
        <w:rPr>
          <w:sz w:val="24"/>
          <w:szCs w:val="24"/>
        </w:rPr>
        <w:t xml:space="preserve">and closely linked to equity of access. Patients should be able to have confidence that the treatment they are having is safe. </w:t>
      </w:r>
      <w:r w:rsidR="00732C12" w:rsidRPr="00AE35BF">
        <w:rPr>
          <w:sz w:val="24"/>
          <w:szCs w:val="24"/>
        </w:rPr>
        <w:t>A</w:t>
      </w:r>
      <w:r w:rsidR="00AE35BF" w:rsidRPr="00AE35BF">
        <w:rPr>
          <w:sz w:val="24"/>
          <w:szCs w:val="24"/>
        </w:rPr>
        <w:t>ccess</w:t>
      </w:r>
      <w:r w:rsidR="00732C12">
        <w:rPr>
          <w:sz w:val="24"/>
          <w:szCs w:val="24"/>
        </w:rPr>
        <w:t xml:space="preserve"> </w:t>
      </w:r>
      <w:r w:rsidR="00AE35BF" w:rsidRPr="00AE35BF">
        <w:rPr>
          <w:sz w:val="24"/>
          <w:szCs w:val="24"/>
        </w:rPr>
        <w:t>to treatment is not meaningful unless the treatment provided is of good quality.</w:t>
      </w:r>
    </w:p>
    <w:p w:rsidR="00CE3ECD" w:rsidRPr="00AE35BF" w:rsidRDefault="00CE3ECD" w:rsidP="00CE3ECD">
      <w:pPr>
        <w:spacing w:after="120"/>
        <w:jc w:val="both"/>
        <w:rPr>
          <w:sz w:val="24"/>
          <w:szCs w:val="24"/>
        </w:rPr>
      </w:pPr>
      <w:r w:rsidRPr="00AE35BF">
        <w:rPr>
          <w:sz w:val="24"/>
          <w:szCs w:val="24"/>
        </w:rPr>
        <w:t>The directive includes important</w:t>
      </w:r>
      <w:r>
        <w:rPr>
          <w:sz w:val="24"/>
          <w:szCs w:val="24"/>
        </w:rPr>
        <w:t xml:space="preserve"> obligations to the </w:t>
      </w:r>
      <w:r w:rsidR="00FD3C5D">
        <w:rPr>
          <w:sz w:val="24"/>
          <w:szCs w:val="24"/>
        </w:rPr>
        <w:t>Member State</w:t>
      </w:r>
      <w:r>
        <w:rPr>
          <w:sz w:val="24"/>
          <w:szCs w:val="24"/>
        </w:rPr>
        <w:t xml:space="preserve">s to be transparent to citizens </w:t>
      </w:r>
      <w:r w:rsidRPr="00AE35BF">
        <w:rPr>
          <w:sz w:val="24"/>
          <w:szCs w:val="24"/>
        </w:rPr>
        <w:t xml:space="preserve">on </w:t>
      </w:r>
      <w:r>
        <w:rPr>
          <w:sz w:val="24"/>
          <w:szCs w:val="24"/>
        </w:rPr>
        <w:t xml:space="preserve">the </w:t>
      </w:r>
      <w:r w:rsidRPr="00AE35BF">
        <w:rPr>
          <w:sz w:val="24"/>
          <w:szCs w:val="24"/>
        </w:rPr>
        <w:t xml:space="preserve">safety and quality of healthcare </w:t>
      </w:r>
      <w:r>
        <w:rPr>
          <w:sz w:val="24"/>
          <w:szCs w:val="24"/>
        </w:rPr>
        <w:t xml:space="preserve">in the country. </w:t>
      </w:r>
      <w:r w:rsidRPr="00AE35BF">
        <w:rPr>
          <w:sz w:val="24"/>
          <w:szCs w:val="24"/>
        </w:rPr>
        <w:t xml:space="preserve">It also includes an obligation to </w:t>
      </w:r>
      <w:r w:rsidR="00FD3C5D">
        <w:rPr>
          <w:sz w:val="24"/>
          <w:szCs w:val="24"/>
        </w:rPr>
        <w:t>Member State</w:t>
      </w:r>
      <w:r w:rsidRPr="00AE35BF">
        <w:rPr>
          <w:sz w:val="24"/>
          <w:szCs w:val="24"/>
        </w:rPr>
        <w:t>s to collaborate with each other on safety and quality, on the development of guidelines and standards but also in other fields that have a bearing on quality such as eHealth, health technology assessment and European Reference Networks.</w:t>
      </w:r>
    </w:p>
    <w:p w:rsidR="00CE3ECD" w:rsidRDefault="00CE3ECD" w:rsidP="00CE3ECD">
      <w:pPr>
        <w:spacing w:after="120"/>
        <w:jc w:val="both"/>
        <w:rPr>
          <w:sz w:val="24"/>
          <w:szCs w:val="24"/>
        </w:rPr>
      </w:pPr>
      <w:r>
        <w:rPr>
          <w:sz w:val="24"/>
          <w:szCs w:val="24"/>
        </w:rPr>
        <w:t xml:space="preserve">According to the investigations of the European </w:t>
      </w:r>
      <w:r w:rsidR="00FD3C5D">
        <w:rPr>
          <w:sz w:val="24"/>
          <w:szCs w:val="24"/>
        </w:rPr>
        <w:t>Commission</w:t>
      </w:r>
      <w:r>
        <w:rPr>
          <w:sz w:val="24"/>
          <w:szCs w:val="24"/>
        </w:rPr>
        <w:t>, quality of care is not a key driver in patients’ choices regarding cross-border healthcare. This would be in line with the findings of the EPF events, where patient representatives attended to say that they expect quality to be good and the treatment to be safe, but this would not be the main reason for seeking care abroad.</w:t>
      </w:r>
      <w:r w:rsidR="00E37421">
        <w:rPr>
          <w:sz w:val="24"/>
          <w:szCs w:val="24"/>
        </w:rPr>
        <w:t xml:space="preserve"> However, patients do want to have comprehensive and understandable information on safety and quality of care that is easily available.</w:t>
      </w:r>
    </w:p>
    <w:p w:rsidR="00CE3ECD" w:rsidRDefault="00E37421" w:rsidP="00CE3ECD">
      <w:pPr>
        <w:spacing w:after="120"/>
        <w:jc w:val="both"/>
        <w:rPr>
          <w:sz w:val="24"/>
          <w:szCs w:val="24"/>
        </w:rPr>
      </w:pPr>
      <w:r w:rsidRPr="00E37421">
        <w:rPr>
          <w:i/>
          <w:sz w:val="24"/>
          <w:szCs w:val="24"/>
        </w:rPr>
        <w:t>Continuity of care</w:t>
      </w:r>
      <w:r>
        <w:rPr>
          <w:sz w:val="24"/>
          <w:szCs w:val="24"/>
        </w:rPr>
        <w:t xml:space="preserve"> </w:t>
      </w:r>
      <w:r w:rsidR="00CE3ECD" w:rsidRPr="00AE35BF">
        <w:rPr>
          <w:sz w:val="24"/>
          <w:szCs w:val="24"/>
        </w:rPr>
        <w:t>is a patient safety issue, particularly in cross-border context.</w:t>
      </w:r>
      <w:r w:rsidR="00CE3ECD">
        <w:rPr>
          <w:sz w:val="24"/>
          <w:szCs w:val="24"/>
        </w:rPr>
        <w:t xml:space="preserve"> </w:t>
      </w:r>
      <w:r w:rsidR="00CE3ECD" w:rsidRPr="00E37421">
        <w:rPr>
          <w:sz w:val="24"/>
          <w:szCs w:val="24"/>
        </w:rPr>
        <w:t xml:space="preserve">Even though </w:t>
      </w:r>
      <w:r>
        <w:rPr>
          <w:sz w:val="24"/>
          <w:szCs w:val="24"/>
        </w:rPr>
        <w:t>the EC</w:t>
      </w:r>
      <w:r w:rsidR="00CE3ECD" w:rsidRPr="00E37421">
        <w:rPr>
          <w:sz w:val="24"/>
          <w:szCs w:val="24"/>
        </w:rPr>
        <w:t xml:space="preserve"> report </w:t>
      </w:r>
      <w:r>
        <w:rPr>
          <w:sz w:val="24"/>
          <w:szCs w:val="24"/>
        </w:rPr>
        <w:t xml:space="preserve">and study did not </w:t>
      </w:r>
      <w:r w:rsidR="00CE3ECD" w:rsidRPr="00E37421">
        <w:rPr>
          <w:sz w:val="24"/>
          <w:szCs w:val="24"/>
        </w:rPr>
        <w:t>identif</w:t>
      </w:r>
      <w:r>
        <w:rPr>
          <w:sz w:val="24"/>
          <w:szCs w:val="24"/>
        </w:rPr>
        <w:t xml:space="preserve">y this </w:t>
      </w:r>
      <w:r w:rsidR="00CE3ECD" w:rsidRPr="00E37421">
        <w:rPr>
          <w:sz w:val="24"/>
          <w:szCs w:val="24"/>
        </w:rPr>
        <w:t>as an issue now</w:t>
      </w:r>
      <w:r>
        <w:rPr>
          <w:sz w:val="24"/>
          <w:szCs w:val="24"/>
        </w:rPr>
        <w:t>, possibly due to the very small numbers of patients accessing cross-border healthcare, there is more room for collaboration on for example application of clinical guidelines in different countries</w:t>
      </w:r>
      <w:r w:rsidR="008B2E56">
        <w:rPr>
          <w:sz w:val="24"/>
          <w:szCs w:val="24"/>
        </w:rPr>
        <w:t xml:space="preserve"> and communicating to patients how they should manage side effects and what they should do in case of complications</w:t>
      </w:r>
      <w:r>
        <w:rPr>
          <w:sz w:val="24"/>
          <w:szCs w:val="24"/>
        </w:rPr>
        <w:t>.</w:t>
      </w:r>
    </w:p>
    <w:p w:rsidR="00CE3ECD" w:rsidRPr="008B2E56" w:rsidRDefault="00CE3ECD" w:rsidP="008B2E56">
      <w:pPr>
        <w:pStyle w:val="Heading2"/>
        <w:spacing w:before="0" w:after="60"/>
        <w:rPr>
          <w:rFonts w:asciiTheme="minorHAnsi" w:hAnsiTheme="minorHAnsi"/>
          <w:i/>
          <w:sz w:val="24"/>
        </w:rPr>
      </w:pPr>
      <w:bookmarkStart w:id="15" w:name="_Toc442730511"/>
      <w:r w:rsidRPr="008B2E56">
        <w:rPr>
          <w:rFonts w:asciiTheme="minorHAnsi" w:hAnsiTheme="minorHAnsi"/>
          <w:i/>
          <w:sz w:val="24"/>
        </w:rPr>
        <w:t>Information on safety and quality</w:t>
      </w:r>
      <w:bookmarkEnd w:id="15"/>
      <w:r w:rsidRPr="008B2E56">
        <w:rPr>
          <w:rFonts w:asciiTheme="minorHAnsi" w:hAnsiTheme="minorHAnsi"/>
          <w:i/>
          <w:sz w:val="24"/>
        </w:rPr>
        <w:t xml:space="preserve"> </w:t>
      </w:r>
    </w:p>
    <w:p w:rsidR="008B2E56" w:rsidRDefault="00CE3ECD" w:rsidP="00CE3ECD">
      <w:pPr>
        <w:spacing w:after="120"/>
        <w:jc w:val="both"/>
        <w:rPr>
          <w:sz w:val="24"/>
          <w:szCs w:val="24"/>
        </w:rPr>
      </w:pPr>
      <w:r w:rsidRPr="00825F3D">
        <w:rPr>
          <w:sz w:val="24"/>
          <w:szCs w:val="24"/>
        </w:rPr>
        <w:t xml:space="preserve">Information on quality and safety is often difficult to understand for a lay patient. The criteria and indicators used vary widely. There is often too much information or information on aspects that are not relevant for patients. </w:t>
      </w:r>
    </w:p>
    <w:p w:rsidR="008B2E56" w:rsidRDefault="008B2E56" w:rsidP="008B2E56">
      <w:pPr>
        <w:spacing w:after="120"/>
        <w:jc w:val="both"/>
        <w:rPr>
          <w:sz w:val="24"/>
          <w:szCs w:val="24"/>
        </w:rPr>
      </w:pPr>
      <w:r>
        <w:rPr>
          <w:sz w:val="24"/>
          <w:szCs w:val="24"/>
        </w:rPr>
        <w:t>NCPs tend to provide generic information, sometimes only links to national laws or regulatory documents, but. “only a few websites published practical and easily understandable information … to help patients make an informed choice.” (study, p. 49)</w:t>
      </w:r>
      <w:r w:rsidRPr="00091B66">
        <w:rPr>
          <w:sz w:val="24"/>
          <w:szCs w:val="24"/>
        </w:rPr>
        <w:t xml:space="preserve"> </w:t>
      </w:r>
      <w:r>
        <w:rPr>
          <w:sz w:val="24"/>
          <w:szCs w:val="24"/>
        </w:rPr>
        <w:t>This is not an adequate application of the directive, as it does not help patients make sense of complex legal and medical information. The lack of comparable safety standards  is also an issue for insurance providers across countries. (study, p. 54) Patients apparently tend to rely mostly on feedback from other patients, or on the advice of a trusted healthcare professional.</w:t>
      </w:r>
    </w:p>
    <w:p w:rsidR="00CE3ECD" w:rsidRDefault="00CE3ECD" w:rsidP="00CE3ECD">
      <w:pPr>
        <w:spacing w:after="120"/>
        <w:jc w:val="both"/>
        <w:rPr>
          <w:sz w:val="24"/>
          <w:szCs w:val="24"/>
        </w:rPr>
      </w:pPr>
      <w:r w:rsidRPr="00825F3D">
        <w:rPr>
          <w:sz w:val="24"/>
          <w:szCs w:val="24"/>
        </w:rPr>
        <w:t xml:space="preserve">Patients would like to have information that is simple, relevant, concise and comparable, both across institutions or providers within the country but also across EU </w:t>
      </w:r>
      <w:r w:rsidR="00FD3C5D">
        <w:rPr>
          <w:sz w:val="24"/>
          <w:szCs w:val="24"/>
        </w:rPr>
        <w:t>Member State</w:t>
      </w:r>
      <w:r w:rsidRPr="00825F3D">
        <w:rPr>
          <w:sz w:val="24"/>
          <w:szCs w:val="24"/>
        </w:rPr>
        <w:t xml:space="preserve">s. In short: information required to make a meaningful decision. It should be provided in a format that is accessible and easily understandable to lay persons. </w:t>
      </w:r>
    </w:p>
    <w:p w:rsidR="008B2E56" w:rsidRDefault="008B2E56" w:rsidP="008B2E56">
      <w:pPr>
        <w:spacing w:after="120"/>
        <w:jc w:val="both"/>
        <w:rPr>
          <w:sz w:val="24"/>
          <w:szCs w:val="24"/>
        </w:rPr>
      </w:pPr>
      <w:r>
        <w:rPr>
          <w:sz w:val="24"/>
          <w:szCs w:val="24"/>
        </w:rPr>
        <w:lastRenderedPageBreak/>
        <w:t xml:space="preserve">The EU study notes that “no universal definition of ‘quality standards’ currently exists across Member States that would support cross-border healthcare provision.  </w:t>
      </w:r>
    </w:p>
    <w:p w:rsidR="0001553E" w:rsidRPr="00825F3D" w:rsidRDefault="0001553E" w:rsidP="0001553E">
      <w:pPr>
        <w:spacing w:after="120"/>
        <w:jc w:val="both"/>
        <w:rPr>
          <w:sz w:val="24"/>
          <w:szCs w:val="24"/>
        </w:rPr>
      </w:pPr>
      <w:r w:rsidRPr="008B2E56">
        <w:rPr>
          <w:i/>
          <w:sz w:val="24"/>
          <w:szCs w:val="24"/>
        </w:rPr>
        <w:t>Information about healthcare providers</w:t>
      </w:r>
      <w:r w:rsidRPr="00825F3D">
        <w:rPr>
          <w:sz w:val="24"/>
          <w:szCs w:val="24"/>
        </w:rPr>
        <w:t xml:space="preserve"> and health professionals is only available on request from the NCP. Some</w:t>
      </w:r>
      <w:r w:rsidR="008B2E56">
        <w:rPr>
          <w:sz w:val="24"/>
          <w:szCs w:val="24"/>
        </w:rPr>
        <w:t xml:space="preserve"> Member States </w:t>
      </w:r>
      <w:r w:rsidRPr="00825F3D">
        <w:rPr>
          <w:sz w:val="24"/>
          <w:szCs w:val="24"/>
        </w:rPr>
        <w:t xml:space="preserve">make extensive use of the </w:t>
      </w:r>
      <w:r w:rsidR="008B2E56">
        <w:rPr>
          <w:sz w:val="24"/>
          <w:szCs w:val="24"/>
        </w:rPr>
        <w:t xml:space="preserve">“internal market information </w:t>
      </w:r>
      <w:r w:rsidRPr="00825F3D">
        <w:rPr>
          <w:sz w:val="24"/>
          <w:szCs w:val="24"/>
        </w:rPr>
        <w:t>system</w:t>
      </w:r>
      <w:r w:rsidR="008B2E56">
        <w:rPr>
          <w:sz w:val="24"/>
          <w:szCs w:val="24"/>
        </w:rPr>
        <w:t>”</w:t>
      </w:r>
      <w:r w:rsidRPr="00825F3D">
        <w:rPr>
          <w:sz w:val="24"/>
          <w:szCs w:val="24"/>
        </w:rPr>
        <w:t xml:space="preserve"> to make enquiries to other</w:t>
      </w:r>
      <w:r w:rsidR="008B2E56">
        <w:rPr>
          <w:sz w:val="24"/>
          <w:szCs w:val="24"/>
        </w:rPr>
        <w:t xml:space="preserve"> Member States </w:t>
      </w:r>
      <w:r w:rsidRPr="00825F3D">
        <w:rPr>
          <w:sz w:val="24"/>
          <w:szCs w:val="24"/>
        </w:rPr>
        <w:t>about healthcare providers – others do not. From a patient perspective, it would be preferable to have an “at a glance” resource to check the qualifications and fitness to practice of providers and professionals.</w:t>
      </w:r>
      <w:r w:rsidR="008B2E56">
        <w:rPr>
          <w:rStyle w:val="FootnoteReference"/>
          <w:sz w:val="24"/>
          <w:szCs w:val="24"/>
        </w:rPr>
        <w:footnoteReference w:id="22"/>
      </w:r>
      <w:r w:rsidRPr="00825F3D">
        <w:rPr>
          <w:sz w:val="24"/>
          <w:szCs w:val="24"/>
        </w:rPr>
        <w:t xml:space="preserve"> These could eventually be combined into a “one-stop” EU level portal which could link to all the national resources.</w:t>
      </w:r>
    </w:p>
    <w:p w:rsidR="008B2E56" w:rsidRPr="00E37421" w:rsidRDefault="008B2E56" w:rsidP="00572F52">
      <w:pPr>
        <w:pStyle w:val="Heading2"/>
        <w:spacing w:before="0" w:after="60"/>
        <w:rPr>
          <w:rFonts w:asciiTheme="minorHAnsi" w:hAnsiTheme="minorHAnsi"/>
          <w:i/>
          <w:sz w:val="24"/>
        </w:rPr>
      </w:pPr>
      <w:bookmarkStart w:id="16" w:name="_Toc442730512"/>
      <w:r w:rsidRPr="00E37421">
        <w:rPr>
          <w:rFonts w:asciiTheme="minorHAnsi" w:hAnsiTheme="minorHAnsi"/>
          <w:i/>
          <w:sz w:val="24"/>
        </w:rPr>
        <w:t>In case something goes wrong</w:t>
      </w:r>
      <w:bookmarkEnd w:id="16"/>
      <w:r w:rsidRPr="00E37421">
        <w:rPr>
          <w:rFonts w:asciiTheme="minorHAnsi" w:hAnsiTheme="minorHAnsi"/>
          <w:i/>
          <w:sz w:val="24"/>
        </w:rPr>
        <w:t xml:space="preserve"> </w:t>
      </w:r>
    </w:p>
    <w:p w:rsidR="0097392A" w:rsidRDefault="008B2E56" w:rsidP="008B2E56">
      <w:pPr>
        <w:spacing w:after="120"/>
        <w:jc w:val="both"/>
        <w:rPr>
          <w:sz w:val="24"/>
          <w:szCs w:val="24"/>
        </w:rPr>
      </w:pPr>
      <w:r>
        <w:rPr>
          <w:sz w:val="24"/>
          <w:szCs w:val="24"/>
        </w:rPr>
        <w:t xml:space="preserve">If a patient is harmed in </w:t>
      </w:r>
      <w:r w:rsidRPr="00AE35BF">
        <w:rPr>
          <w:sz w:val="24"/>
          <w:szCs w:val="24"/>
        </w:rPr>
        <w:t>a healthcare context, it is vital that the mechanisms for complaints, compensation and redress are transparent, prompt</w:t>
      </w:r>
      <w:r>
        <w:rPr>
          <w:sz w:val="24"/>
          <w:szCs w:val="24"/>
        </w:rPr>
        <w:t>, supportive to the patient/family,</w:t>
      </w:r>
      <w:r w:rsidRPr="00AE35BF">
        <w:rPr>
          <w:sz w:val="24"/>
          <w:szCs w:val="24"/>
        </w:rPr>
        <w:t xml:space="preserve"> and effective. </w:t>
      </w:r>
      <w:r w:rsidR="0097392A" w:rsidRPr="0097392A">
        <w:rPr>
          <w:sz w:val="24"/>
          <w:szCs w:val="24"/>
        </w:rPr>
        <w:t xml:space="preserve">Mechanisms for complaints and redress should be transparent, simple, effective, swift and easy to understand, based on good governance principles and with clear information for patients on the procedures, their rights and various alternatives. </w:t>
      </w:r>
    </w:p>
    <w:p w:rsidR="008B2E56" w:rsidRDefault="008B2E56" w:rsidP="008B2E56">
      <w:pPr>
        <w:spacing w:after="120"/>
        <w:jc w:val="both"/>
        <w:rPr>
          <w:sz w:val="24"/>
          <w:szCs w:val="24"/>
        </w:rPr>
      </w:pPr>
      <w:r>
        <w:rPr>
          <w:sz w:val="24"/>
          <w:szCs w:val="24"/>
        </w:rPr>
        <w:t>This is currently not the case. Not all NCP websites provide even general information on whom to contact in the event of harm.</w:t>
      </w:r>
      <w:r>
        <w:rPr>
          <w:rStyle w:val="FootnoteReference"/>
          <w:sz w:val="24"/>
          <w:szCs w:val="24"/>
        </w:rPr>
        <w:footnoteReference w:id="23"/>
      </w:r>
      <w:r>
        <w:rPr>
          <w:sz w:val="24"/>
          <w:szCs w:val="24"/>
        </w:rPr>
        <w:t xml:space="preserve"> The EC study found that only two of the NCPs contacted with specific questions regarding procedures in the event of harm were able to give answers. Although this was only a sample of NCPs, nevertheless it is worrying from a patients’ rights perspective. </w:t>
      </w:r>
    </w:p>
    <w:p w:rsidR="008B2E56" w:rsidRPr="00B33C63" w:rsidRDefault="008B2E56" w:rsidP="008B2E56">
      <w:pPr>
        <w:spacing w:after="120"/>
        <w:jc w:val="both"/>
        <w:rPr>
          <w:b/>
          <w:color w:val="002060"/>
          <w:sz w:val="24"/>
          <w:szCs w:val="24"/>
        </w:rPr>
      </w:pPr>
      <w:r w:rsidRPr="00B33C63">
        <w:rPr>
          <w:b/>
          <w:color w:val="002060"/>
          <w:sz w:val="24"/>
          <w:szCs w:val="24"/>
        </w:rPr>
        <w:t>EPF recommendations:</w:t>
      </w:r>
    </w:p>
    <w:p w:rsidR="007778F0" w:rsidRPr="0097392A" w:rsidRDefault="007778F0" w:rsidP="0097392A">
      <w:pPr>
        <w:pStyle w:val="ListParagraph"/>
        <w:numPr>
          <w:ilvl w:val="0"/>
          <w:numId w:val="21"/>
        </w:numPr>
        <w:spacing w:after="80"/>
        <w:ind w:left="425" w:hanging="357"/>
        <w:contextualSpacing w:val="0"/>
        <w:jc w:val="both"/>
        <w:rPr>
          <w:color w:val="002060"/>
          <w:sz w:val="24"/>
          <w:szCs w:val="24"/>
        </w:rPr>
      </w:pPr>
      <w:r w:rsidRPr="0097392A">
        <w:rPr>
          <w:color w:val="002060"/>
          <w:sz w:val="24"/>
          <w:szCs w:val="24"/>
        </w:rPr>
        <w:t>Relevant, understandable information about safety and quality of care should be provided to patients</w:t>
      </w:r>
      <w:r w:rsidR="00B33C63" w:rsidRPr="0097392A">
        <w:rPr>
          <w:color w:val="002060"/>
          <w:sz w:val="24"/>
          <w:szCs w:val="24"/>
        </w:rPr>
        <w:t xml:space="preserve"> that </w:t>
      </w:r>
      <w:r w:rsidR="00B33C63" w:rsidRPr="0097392A">
        <w:rPr>
          <w:i/>
          <w:color w:val="002060"/>
          <w:sz w:val="24"/>
          <w:szCs w:val="24"/>
        </w:rPr>
        <w:t xml:space="preserve">enables them </w:t>
      </w:r>
      <w:r w:rsidRPr="0097392A">
        <w:rPr>
          <w:i/>
          <w:color w:val="002060"/>
          <w:sz w:val="24"/>
          <w:szCs w:val="24"/>
        </w:rPr>
        <w:t>to make comparisons and meaningful judgements</w:t>
      </w:r>
      <w:r w:rsidRPr="0097392A">
        <w:rPr>
          <w:color w:val="002060"/>
          <w:sz w:val="24"/>
          <w:szCs w:val="24"/>
        </w:rPr>
        <w:t xml:space="preserve">. </w:t>
      </w:r>
    </w:p>
    <w:p w:rsidR="00524382" w:rsidRPr="0097392A" w:rsidRDefault="00B33C63" w:rsidP="0097392A">
      <w:pPr>
        <w:pStyle w:val="ListParagraph"/>
        <w:numPr>
          <w:ilvl w:val="0"/>
          <w:numId w:val="21"/>
        </w:numPr>
        <w:spacing w:after="80"/>
        <w:ind w:left="425" w:hanging="357"/>
        <w:contextualSpacing w:val="0"/>
        <w:jc w:val="both"/>
        <w:rPr>
          <w:color w:val="002060"/>
          <w:sz w:val="24"/>
          <w:szCs w:val="24"/>
        </w:rPr>
      </w:pPr>
      <w:r w:rsidRPr="0097392A">
        <w:rPr>
          <w:color w:val="002060"/>
          <w:sz w:val="24"/>
          <w:szCs w:val="24"/>
        </w:rPr>
        <w:t>Guidance</w:t>
      </w:r>
      <w:r w:rsidR="00524382" w:rsidRPr="0097392A">
        <w:rPr>
          <w:color w:val="002060"/>
          <w:sz w:val="24"/>
          <w:szCs w:val="24"/>
        </w:rPr>
        <w:t xml:space="preserve"> should be </w:t>
      </w:r>
      <w:r w:rsidRPr="0097392A">
        <w:rPr>
          <w:color w:val="002060"/>
          <w:sz w:val="24"/>
          <w:szCs w:val="24"/>
        </w:rPr>
        <w:t xml:space="preserve">made available </w:t>
      </w:r>
      <w:r w:rsidR="00524382" w:rsidRPr="0097392A">
        <w:rPr>
          <w:color w:val="002060"/>
          <w:sz w:val="24"/>
          <w:szCs w:val="24"/>
        </w:rPr>
        <w:t xml:space="preserve">for patients on how to interpret safety and quality </w:t>
      </w:r>
      <w:r w:rsidR="007778F0" w:rsidRPr="0097392A">
        <w:rPr>
          <w:color w:val="002060"/>
          <w:sz w:val="24"/>
          <w:szCs w:val="24"/>
        </w:rPr>
        <w:t xml:space="preserve">information (e.g. </w:t>
      </w:r>
      <w:r w:rsidRPr="0097392A">
        <w:rPr>
          <w:color w:val="002060"/>
          <w:sz w:val="24"/>
          <w:szCs w:val="24"/>
        </w:rPr>
        <w:t xml:space="preserve">explanation of </w:t>
      </w:r>
      <w:r w:rsidR="007778F0" w:rsidRPr="0097392A">
        <w:rPr>
          <w:color w:val="002060"/>
          <w:sz w:val="24"/>
          <w:szCs w:val="24"/>
        </w:rPr>
        <w:t>key terms and measures)</w:t>
      </w:r>
      <w:r w:rsidR="00524382" w:rsidRPr="0097392A">
        <w:rPr>
          <w:color w:val="002060"/>
          <w:sz w:val="24"/>
          <w:szCs w:val="24"/>
        </w:rPr>
        <w:t xml:space="preserve">. This could be </w:t>
      </w:r>
      <w:r w:rsidRPr="0097392A">
        <w:rPr>
          <w:color w:val="002060"/>
          <w:sz w:val="24"/>
          <w:szCs w:val="24"/>
        </w:rPr>
        <w:t xml:space="preserve">an opportunity for </w:t>
      </w:r>
      <w:r w:rsidR="00524382" w:rsidRPr="0097392A">
        <w:rPr>
          <w:color w:val="002060"/>
          <w:sz w:val="24"/>
          <w:szCs w:val="24"/>
        </w:rPr>
        <w:t xml:space="preserve">collaboration between patient organisations and safety and quality experts. </w:t>
      </w:r>
    </w:p>
    <w:p w:rsidR="0097392A" w:rsidRPr="0097392A" w:rsidRDefault="0097392A" w:rsidP="0097392A">
      <w:pPr>
        <w:pStyle w:val="ListParagraph"/>
        <w:numPr>
          <w:ilvl w:val="0"/>
          <w:numId w:val="21"/>
        </w:numPr>
        <w:spacing w:after="80"/>
        <w:ind w:left="425" w:hanging="357"/>
        <w:contextualSpacing w:val="0"/>
        <w:jc w:val="both"/>
        <w:rPr>
          <w:color w:val="002060"/>
          <w:sz w:val="24"/>
          <w:szCs w:val="24"/>
        </w:rPr>
      </w:pPr>
      <w:r w:rsidRPr="0097392A">
        <w:rPr>
          <w:color w:val="002060"/>
          <w:sz w:val="24"/>
          <w:szCs w:val="24"/>
        </w:rPr>
        <w:t xml:space="preserve">Easy to understand, step-by-step procedures for complaints and redress to be established right away and to be made available on the NCP websites. </w:t>
      </w:r>
    </w:p>
    <w:p w:rsidR="00524382" w:rsidRPr="0097392A" w:rsidRDefault="00B33C63" w:rsidP="0097392A">
      <w:pPr>
        <w:pStyle w:val="ListParagraph"/>
        <w:numPr>
          <w:ilvl w:val="0"/>
          <w:numId w:val="21"/>
        </w:numPr>
        <w:spacing w:after="80"/>
        <w:ind w:left="425" w:hanging="357"/>
        <w:contextualSpacing w:val="0"/>
        <w:jc w:val="both"/>
        <w:rPr>
          <w:color w:val="002060"/>
          <w:sz w:val="24"/>
          <w:szCs w:val="24"/>
        </w:rPr>
      </w:pPr>
      <w:r w:rsidRPr="0097392A">
        <w:rPr>
          <w:color w:val="002060"/>
          <w:sz w:val="24"/>
          <w:szCs w:val="24"/>
        </w:rPr>
        <w:t>Easily understandable i</w:t>
      </w:r>
      <w:r w:rsidR="00524382" w:rsidRPr="0097392A">
        <w:rPr>
          <w:color w:val="002060"/>
          <w:sz w:val="24"/>
          <w:szCs w:val="24"/>
        </w:rPr>
        <w:t xml:space="preserve">nformation </w:t>
      </w:r>
      <w:r w:rsidRPr="0097392A">
        <w:rPr>
          <w:color w:val="002060"/>
          <w:sz w:val="24"/>
          <w:szCs w:val="24"/>
        </w:rPr>
        <w:t xml:space="preserve">on </w:t>
      </w:r>
      <w:r w:rsidR="00524382" w:rsidRPr="0097392A">
        <w:rPr>
          <w:color w:val="002060"/>
          <w:sz w:val="24"/>
          <w:szCs w:val="24"/>
        </w:rPr>
        <w:t xml:space="preserve">the right to practice </w:t>
      </w:r>
      <w:r w:rsidR="0097392A">
        <w:rPr>
          <w:color w:val="002060"/>
          <w:sz w:val="24"/>
          <w:szCs w:val="24"/>
        </w:rPr>
        <w:t xml:space="preserve">/qualifications </w:t>
      </w:r>
      <w:r w:rsidR="00524382" w:rsidRPr="0097392A">
        <w:rPr>
          <w:color w:val="002060"/>
          <w:sz w:val="24"/>
          <w:szCs w:val="24"/>
        </w:rPr>
        <w:t>of health professionals should be available to patients and the public though a</w:t>
      </w:r>
      <w:r w:rsidRPr="0097392A">
        <w:rPr>
          <w:color w:val="002060"/>
          <w:sz w:val="24"/>
          <w:szCs w:val="24"/>
        </w:rPr>
        <w:t xml:space="preserve"> widely</w:t>
      </w:r>
      <w:r w:rsidR="00524382" w:rsidRPr="0097392A">
        <w:rPr>
          <w:color w:val="002060"/>
          <w:sz w:val="24"/>
          <w:szCs w:val="24"/>
        </w:rPr>
        <w:t xml:space="preserve"> accessible medium, e.g. a web-based platform.</w:t>
      </w:r>
    </w:p>
    <w:p w:rsidR="0097392A" w:rsidRDefault="00B33C63" w:rsidP="00120B19">
      <w:pPr>
        <w:pStyle w:val="ListParagraph"/>
        <w:numPr>
          <w:ilvl w:val="0"/>
          <w:numId w:val="21"/>
        </w:numPr>
        <w:ind w:left="426"/>
        <w:rPr>
          <w:color w:val="002060"/>
          <w:sz w:val="24"/>
          <w:szCs w:val="24"/>
        </w:rPr>
      </w:pPr>
      <w:r w:rsidRPr="0097392A">
        <w:rPr>
          <w:color w:val="002060"/>
          <w:sz w:val="24"/>
          <w:szCs w:val="24"/>
        </w:rPr>
        <w:t xml:space="preserve">Member States </w:t>
      </w:r>
      <w:r w:rsidR="008B2E56" w:rsidRPr="0097392A">
        <w:rPr>
          <w:color w:val="002060"/>
          <w:sz w:val="24"/>
          <w:szCs w:val="24"/>
        </w:rPr>
        <w:t xml:space="preserve">should </w:t>
      </w:r>
      <w:r w:rsidRPr="0097392A">
        <w:rPr>
          <w:color w:val="002060"/>
          <w:sz w:val="24"/>
          <w:szCs w:val="24"/>
        </w:rPr>
        <w:t xml:space="preserve">collaborate </w:t>
      </w:r>
      <w:r w:rsidR="008B2E56" w:rsidRPr="0097392A">
        <w:rPr>
          <w:color w:val="002060"/>
          <w:sz w:val="24"/>
          <w:szCs w:val="24"/>
        </w:rPr>
        <w:t xml:space="preserve">at European level to encourage </w:t>
      </w:r>
      <w:r w:rsidR="0097392A">
        <w:rPr>
          <w:color w:val="002060"/>
          <w:sz w:val="24"/>
          <w:szCs w:val="24"/>
        </w:rPr>
        <w:t xml:space="preserve">upward </w:t>
      </w:r>
      <w:r w:rsidR="008B2E56" w:rsidRPr="0097392A">
        <w:rPr>
          <w:color w:val="002060"/>
          <w:sz w:val="24"/>
          <w:szCs w:val="24"/>
        </w:rPr>
        <w:t xml:space="preserve">convergence of national safety and quality standards, for example through benchmarking and key indicators. </w:t>
      </w:r>
    </w:p>
    <w:p w:rsidR="008B2E56" w:rsidRPr="0097392A" w:rsidRDefault="00AB4029" w:rsidP="00120B19">
      <w:pPr>
        <w:pStyle w:val="ListParagraph"/>
        <w:numPr>
          <w:ilvl w:val="0"/>
          <w:numId w:val="21"/>
        </w:numPr>
        <w:ind w:left="426"/>
        <w:rPr>
          <w:color w:val="002060"/>
          <w:sz w:val="24"/>
          <w:szCs w:val="24"/>
        </w:rPr>
      </w:pPr>
      <w:r w:rsidRPr="0097392A">
        <w:rPr>
          <w:color w:val="002060"/>
          <w:sz w:val="24"/>
          <w:szCs w:val="24"/>
        </w:rPr>
        <w:lastRenderedPageBreak/>
        <w:t xml:space="preserve">The definition of quality </w:t>
      </w:r>
      <w:r w:rsidR="0097392A">
        <w:rPr>
          <w:color w:val="002060"/>
          <w:sz w:val="24"/>
          <w:szCs w:val="24"/>
        </w:rPr>
        <w:t xml:space="preserve">applied at EU and national/local level </w:t>
      </w:r>
      <w:r w:rsidRPr="0097392A">
        <w:rPr>
          <w:color w:val="002060"/>
          <w:sz w:val="24"/>
          <w:szCs w:val="24"/>
        </w:rPr>
        <w:t xml:space="preserve">should </w:t>
      </w:r>
      <w:r w:rsidR="008B2E56" w:rsidRPr="0097392A">
        <w:rPr>
          <w:color w:val="002060"/>
          <w:sz w:val="24"/>
          <w:szCs w:val="24"/>
        </w:rPr>
        <w:t>include patient-</w:t>
      </w:r>
      <w:proofErr w:type="spellStart"/>
      <w:r w:rsidR="008B2E56" w:rsidRPr="0097392A">
        <w:rPr>
          <w:color w:val="002060"/>
          <w:sz w:val="24"/>
          <w:szCs w:val="24"/>
        </w:rPr>
        <w:t>centredness</w:t>
      </w:r>
      <w:proofErr w:type="spellEnd"/>
      <w:r w:rsidR="008B2E56" w:rsidRPr="0097392A">
        <w:rPr>
          <w:color w:val="002060"/>
          <w:sz w:val="24"/>
          <w:szCs w:val="24"/>
        </w:rPr>
        <w:t xml:space="preserve"> </w:t>
      </w:r>
      <w:r w:rsidRPr="0097392A">
        <w:rPr>
          <w:color w:val="002060"/>
          <w:sz w:val="24"/>
          <w:szCs w:val="24"/>
        </w:rPr>
        <w:t>and the patient experience</w:t>
      </w:r>
      <w:r w:rsidR="008B2E56" w:rsidRPr="0097392A">
        <w:rPr>
          <w:color w:val="002060"/>
          <w:sz w:val="24"/>
          <w:szCs w:val="24"/>
        </w:rPr>
        <w:t>, and meaningful measures to assess it</w:t>
      </w:r>
      <w:r w:rsidRPr="0097392A">
        <w:rPr>
          <w:color w:val="002060"/>
          <w:sz w:val="24"/>
          <w:szCs w:val="24"/>
        </w:rPr>
        <w:t xml:space="preserve"> (</w:t>
      </w:r>
      <w:r w:rsidR="0097392A">
        <w:rPr>
          <w:color w:val="002060"/>
          <w:sz w:val="24"/>
          <w:szCs w:val="24"/>
        </w:rPr>
        <w:t xml:space="preserve">e.g. </w:t>
      </w:r>
      <w:r w:rsidRPr="0097392A">
        <w:rPr>
          <w:color w:val="002060"/>
          <w:sz w:val="24"/>
          <w:szCs w:val="24"/>
        </w:rPr>
        <w:t>PROMs and PREMs)</w:t>
      </w:r>
      <w:r w:rsidRPr="0097392A">
        <w:rPr>
          <w:rStyle w:val="FootnoteReference"/>
          <w:color w:val="002060"/>
          <w:sz w:val="24"/>
          <w:szCs w:val="24"/>
        </w:rPr>
        <w:footnoteReference w:id="24"/>
      </w:r>
      <w:r w:rsidR="008B2E56" w:rsidRPr="0097392A">
        <w:rPr>
          <w:color w:val="002060"/>
          <w:sz w:val="24"/>
          <w:szCs w:val="24"/>
        </w:rPr>
        <w:t>.</w:t>
      </w:r>
    </w:p>
    <w:p w:rsidR="004A5102" w:rsidRPr="00087CA3" w:rsidRDefault="004A5102" w:rsidP="00AE35BF">
      <w:pPr>
        <w:spacing w:after="60" w:line="252" w:lineRule="auto"/>
        <w:jc w:val="both"/>
        <w:rPr>
          <w:sz w:val="24"/>
          <w:szCs w:val="24"/>
        </w:rPr>
      </w:pPr>
    </w:p>
    <w:p w:rsidR="00C406D0" w:rsidRPr="007778F0" w:rsidRDefault="00C406D0" w:rsidP="00B33C63">
      <w:pPr>
        <w:pStyle w:val="Heading1"/>
        <w:numPr>
          <w:ilvl w:val="1"/>
          <w:numId w:val="28"/>
        </w:numPr>
        <w:spacing w:before="0" w:after="120" w:line="240" w:lineRule="auto"/>
        <w:rPr>
          <w:b/>
          <w:color w:val="17365D" w:themeColor="text2" w:themeShade="BF"/>
          <w:sz w:val="28"/>
          <w:szCs w:val="24"/>
        </w:rPr>
      </w:pPr>
      <w:bookmarkStart w:id="17" w:name="_Toc442730513"/>
      <w:r w:rsidRPr="007778F0">
        <w:rPr>
          <w:b/>
          <w:color w:val="17365D" w:themeColor="text2" w:themeShade="BF"/>
          <w:sz w:val="28"/>
          <w:szCs w:val="24"/>
        </w:rPr>
        <w:t>European collaboration</w:t>
      </w:r>
      <w:bookmarkEnd w:id="17"/>
    </w:p>
    <w:p w:rsidR="003F0D85" w:rsidRPr="003F0D85" w:rsidRDefault="00D821D0" w:rsidP="003F0D85">
      <w:pPr>
        <w:spacing w:after="120"/>
        <w:jc w:val="both"/>
        <w:rPr>
          <w:sz w:val="24"/>
          <w:szCs w:val="24"/>
        </w:rPr>
      </w:pPr>
      <w:r>
        <w:rPr>
          <w:sz w:val="24"/>
          <w:szCs w:val="24"/>
        </w:rPr>
        <w:t xml:space="preserve">Other </w:t>
      </w:r>
      <w:r w:rsidR="003F0D85">
        <w:rPr>
          <w:sz w:val="24"/>
          <w:szCs w:val="24"/>
        </w:rPr>
        <w:t xml:space="preserve">areas where the directive has significant future potential is in encouraging closer </w:t>
      </w:r>
      <w:r w:rsidR="003F0D85" w:rsidRPr="003F0D85">
        <w:rPr>
          <w:sz w:val="24"/>
          <w:szCs w:val="24"/>
        </w:rPr>
        <w:t xml:space="preserve">European cooperation </w:t>
      </w:r>
      <w:r>
        <w:rPr>
          <w:sz w:val="24"/>
          <w:szCs w:val="24"/>
        </w:rPr>
        <w:t>through</w:t>
      </w:r>
      <w:r w:rsidR="003F0D85" w:rsidRPr="003F0D85">
        <w:rPr>
          <w:sz w:val="24"/>
          <w:szCs w:val="24"/>
        </w:rPr>
        <w:t xml:space="preserve"> </w:t>
      </w:r>
      <w:r w:rsidR="003F0D85">
        <w:rPr>
          <w:sz w:val="24"/>
          <w:szCs w:val="24"/>
        </w:rPr>
        <w:t xml:space="preserve">European reference networks, </w:t>
      </w:r>
      <w:r>
        <w:rPr>
          <w:sz w:val="24"/>
          <w:szCs w:val="24"/>
        </w:rPr>
        <w:t xml:space="preserve">on </w:t>
      </w:r>
      <w:r w:rsidR="003F0D85">
        <w:rPr>
          <w:sz w:val="24"/>
          <w:szCs w:val="24"/>
        </w:rPr>
        <w:t xml:space="preserve">eHealth, and </w:t>
      </w:r>
      <w:r>
        <w:rPr>
          <w:sz w:val="24"/>
          <w:szCs w:val="24"/>
        </w:rPr>
        <w:t xml:space="preserve">on </w:t>
      </w:r>
      <w:r w:rsidR="003F0D85">
        <w:rPr>
          <w:sz w:val="24"/>
          <w:szCs w:val="24"/>
        </w:rPr>
        <w:t>health technology assessment.</w:t>
      </w:r>
    </w:p>
    <w:p w:rsidR="00C406D0" w:rsidRPr="007778F0" w:rsidRDefault="00C406D0" w:rsidP="007778F0">
      <w:pPr>
        <w:pStyle w:val="Heading2"/>
        <w:spacing w:before="0" w:after="60"/>
        <w:rPr>
          <w:rFonts w:asciiTheme="minorHAnsi" w:hAnsiTheme="minorHAnsi"/>
          <w:i/>
          <w:sz w:val="24"/>
        </w:rPr>
      </w:pPr>
      <w:bookmarkStart w:id="18" w:name="_Toc442730514"/>
      <w:r w:rsidRPr="007778F0">
        <w:rPr>
          <w:rFonts w:asciiTheme="minorHAnsi" w:hAnsiTheme="minorHAnsi"/>
          <w:i/>
          <w:sz w:val="24"/>
        </w:rPr>
        <w:t>European Reference Networks</w:t>
      </w:r>
      <w:bookmarkEnd w:id="18"/>
    </w:p>
    <w:p w:rsidR="003F0D85" w:rsidRDefault="003F0D85" w:rsidP="00C406D0">
      <w:pPr>
        <w:spacing w:after="120"/>
        <w:jc w:val="both"/>
        <w:rPr>
          <w:sz w:val="24"/>
          <w:szCs w:val="24"/>
        </w:rPr>
      </w:pPr>
      <w:r w:rsidRPr="003F0D85">
        <w:rPr>
          <w:sz w:val="24"/>
          <w:szCs w:val="24"/>
        </w:rPr>
        <w:t>European Reference Networks (ERNs) already exist</w:t>
      </w:r>
      <w:r>
        <w:rPr>
          <w:sz w:val="24"/>
          <w:szCs w:val="24"/>
        </w:rPr>
        <w:t>ed</w:t>
      </w:r>
      <w:r w:rsidRPr="003F0D85">
        <w:rPr>
          <w:sz w:val="24"/>
          <w:szCs w:val="24"/>
        </w:rPr>
        <w:t xml:space="preserve"> </w:t>
      </w:r>
      <w:r>
        <w:rPr>
          <w:sz w:val="24"/>
          <w:szCs w:val="24"/>
        </w:rPr>
        <w:t xml:space="preserve">in </w:t>
      </w:r>
      <w:r w:rsidRPr="003F0D85">
        <w:rPr>
          <w:sz w:val="24"/>
          <w:szCs w:val="24"/>
        </w:rPr>
        <w:t>some rare diseases</w:t>
      </w:r>
      <w:r w:rsidR="002E475D">
        <w:rPr>
          <w:sz w:val="24"/>
          <w:szCs w:val="24"/>
        </w:rPr>
        <w:t xml:space="preserve"> for many years</w:t>
      </w:r>
      <w:r>
        <w:rPr>
          <w:sz w:val="24"/>
          <w:szCs w:val="24"/>
        </w:rPr>
        <w:t xml:space="preserve">, but the </w:t>
      </w:r>
      <w:r w:rsidRPr="003F0D85">
        <w:rPr>
          <w:sz w:val="24"/>
          <w:szCs w:val="24"/>
        </w:rPr>
        <w:t>Directive</w:t>
      </w:r>
      <w:r>
        <w:rPr>
          <w:sz w:val="24"/>
          <w:szCs w:val="24"/>
        </w:rPr>
        <w:t xml:space="preserve"> gave </w:t>
      </w:r>
      <w:r w:rsidRPr="003F0D85">
        <w:rPr>
          <w:sz w:val="24"/>
          <w:szCs w:val="24"/>
        </w:rPr>
        <w:t xml:space="preserve">them a legal basis and clear objectives. ERNs bring together specialised centres of expertise across </w:t>
      </w:r>
      <w:r w:rsidR="00FD3C5D">
        <w:rPr>
          <w:sz w:val="24"/>
          <w:szCs w:val="24"/>
        </w:rPr>
        <w:t>Member State</w:t>
      </w:r>
      <w:r w:rsidRPr="003F0D85">
        <w:rPr>
          <w:sz w:val="24"/>
          <w:szCs w:val="24"/>
        </w:rPr>
        <w:t>s to work together and pool their resources and knowledge.</w:t>
      </w:r>
      <w:r w:rsidR="007778F0">
        <w:rPr>
          <w:rStyle w:val="FootnoteReference"/>
          <w:sz w:val="24"/>
          <w:szCs w:val="24"/>
        </w:rPr>
        <w:footnoteReference w:id="25"/>
      </w:r>
      <w:r w:rsidRPr="003F0D85">
        <w:rPr>
          <w:sz w:val="24"/>
          <w:szCs w:val="24"/>
        </w:rPr>
        <w:t xml:space="preserve"> </w:t>
      </w:r>
    </w:p>
    <w:p w:rsidR="00C406D0" w:rsidRDefault="003F0D85" w:rsidP="00C406D0">
      <w:pPr>
        <w:spacing w:after="120"/>
        <w:jc w:val="both"/>
        <w:rPr>
          <w:sz w:val="24"/>
          <w:szCs w:val="24"/>
        </w:rPr>
      </w:pPr>
      <w:r>
        <w:rPr>
          <w:sz w:val="24"/>
          <w:szCs w:val="24"/>
        </w:rPr>
        <w:t xml:space="preserve">The establishment of the networks has begun with the establishment of a Board of </w:t>
      </w:r>
      <w:r w:rsidR="00FD3C5D">
        <w:rPr>
          <w:sz w:val="24"/>
          <w:szCs w:val="24"/>
        </w:rPr>
        <w:t>Member State</w:t>
      </w:r>
      <w:r>
        <w:rPr>
          <w:sz w:val="24"/>
          <w:szCs w:val="24"/>
        </w:rPr>
        <w:t xml:space="preserve">s, which will approve proposals, and a first call for networks is expected in early 2016. </w:t>
      </w:r>
      <w:r w:rsidR="002E475D" w:rsidRPr="003F0D85">
        <w:rPr>
          <w:sz w:val="24"/>
          <w:szCs w:val="24"/>
        </w:rPr>
        <w:t xml:space="preserve">In principle, </w:t>
      </w:r>
      <w:r w:rsidR="002E475D">
        <w:rPr>
          <w:sz w:val="24"/>
          <w:szCs w:val="24"/>
        </w:rPr>
        <w:t xml:space="preserve">the </w:t>
      </w:r>
      <w:r w:rsidR="002E475D" w:rsidRPr="003F0D85">
        <w:rPr>
          <w:sz w:val="24"/>
          <w:szCs w:val="24"/>
        </w:rPr>
        <w:t>ERN</w:t>
      </w:r>
      <w:r w:rsidR="002E475D">
        <w:rPr>
          <w:sz w:val="24"/>
          <w:szCs w:val="24"/>
        </w:rPr>
        <w:t xml:space="preserve"> approach</w:t>
      </w:r>
      <w:r w:rsidR="002E475D" w:rsidRPr="003F0D85">
        <w:rPr>
          <w:sz w:val="24"/>
          <w:szCs w:val="24"/>
        </w:rPr>
        <w:t xml:space="preserve"> could be applied not only to rare diseases but to any disease where diagnosis and treatment needs to be </w:t>
      </w:r>
      <w:r w:rsidR="002E475D">
        <w:rPr>
          <w:sz w:val="24"/>
          <w:szCs w:val="24"/>
        </w:rPr>
        <w:t xml:space="preserve">globally </w:t>
      </w:r>
      <w:r w:rsidR="002E475D" w:rsidRPr="003F0D85">
        <w:rPr>
          <w:sz w:val="24"/>
          <w:szCs w:val="24"/>
        </w:rPr>
        <w:t xml:space="preserve">improved. </w:t>
      </w:r>
      <w:r>
        <w:rPr>
          <w:sz w:val="24"/>
          <w:szCs w:val="24"/>
        </w:rPr>
        <w:t>T</w:t>
      </w:r>
      <w:r w:rsidR="008C6690">
        <w:rPr>
          <w:sz w:val="24"/>
          <w:szCs w:val="24"/>
        </w:rPr>
        <w:t>he</w:t>
      </w:r>
      <w:r>
        <w:rPr>
          <w:sz w:val="24"/>
          <w:szCs w:val="24"/>
        </w:rPr>
        <w:t xml:space="preserve"> </w:t>
      </w:r>
      <w:r w:rsidR="00FD3C5D">
        <w:rPr>
          <w:sz w:val="24"/>
          <w:szCs w:val="24"/>
        </w:rPr>
        <w:t>Commission</w:t>
      </w:r>
      <w:r>
        <w:rPr>
          <w:sz w:val="24"/>
          <w:szCs w:val="24"/>
        </w:rPr>
        <w:t>’s</w:t>
      </w:r>
      <w:r w:rsidR="008C6690">
        <w:rPr>
          <w:sz w:val="24"/>
          <w:szCs w:val="24"/>
        </w:rPr>
        <w:t xml:space="preserve"> report states it is working with healthcare providers and authorities to raise awareness of the possibilities offered by ERNs and to gather support for potential networks.</w:t>
      </w:r>
    </w:p>
    <w:p w:rsidR="003D3339" w:rsidRDefault="003D3339" w:rsidP="00C406D0">
      <w:pPr>
        <w:spacing w:after="120"/>
        <w:jc w:val="both"/>
        <w:rPr>
          <w:sz w:val="24"/>
          <w:szCs w:val="24"/>
        </w:rPr>
      </w:pPr>
      <w:r>
        <w:rPr>
          <w:sz w:val="24"/>
          <w:szCs w:val="24"/>
        </w:rPr>
        <w:t xml:space="preserve">Some patient organisations are collaborating </w:t>
      </w:r>
      <w:r w:rsidRPr="003D3339">
        <w:rPr>
          <w:sz w:val="24"/>
          <w:szCs w:val="24"/>
        </w:rPr>
        <w:t xml:space="preserve">with </w:t>
      </w:r>
      <w:r>
        <w:rPr>
          <w:sz w:val="24"/>
          <w:szCs w:val="24"/>
        </w:rPr>
        <w:t xml:space="preserve">specialist </w:t>
      </w:r>
      <w:r w:rsidRPr="003D3339">
        <w:rPr>
          <w:sz w:val="24"/>
          <w:szCs w:val="24"/>
        </w:rPr>
        <w:t xml:space="preserve">healthcare providers </w:t>
      </w:r>
      <w:r>
        <w:rPr>
          <w:sz w:val="24"/>
          <w:szCs w:val="24"/>
        </w:rPr>
        <w:t xml:space="preserve">to create the clinical network which could join a ERN, such as in the field of </w:t>
      </w:r>
      <w:r w:rsidRPr="003D3339">
        <w:rPr>
          <w:sz w:val="24"/>
          <w:szCs w:val="24"/>
        </w:rPr>
        <w:t>Spina Bifida and Hydrocephalus</w:t>
      </w:r>
      <w:r>
        <w:rPr>
          <w:sz w:val="24"/>
          <w:szCs w:val="24"/>
        </w:rPr>
        <w:t>/rare malformations</w:t>
      </w:r>
      <w:r>
        <w:rPr>
          <w:rStyle w:val="FootnoteReference"/>
          <w:sz w:val="24"/>
          <w:szCs w:val="24"/>
        </w:rPr>
        <w:footnoteReference w:id="26"/>
      </w:r>
      <w:r w:rsidRPr="003D3339">
        <w:rPr>
          <w:sz w:val="24"/>
          <w:szCs w:val="24"/>
        </w:rPr>
        <w:t>.</w:t>
      </w:r>
    </w:p>
    <w:p w:rsidR="00A02586" w:rsidRPr="00AB4029" w:rsidRDefault="007778F0" w:rsidP="00C406D0">
      <w:pPr>
        <w:spacing w:after="120"/>
        <w:jc w:val="both"/>
        <w:rPr>
          <w:b/>
          <w:color w:val="002060"/>
          <w:sz w:val="24"/>
          <w:szCs w:val="24"/>
        </w:rPr>
      </w:pPr>
      <w:r w:rsidRPr="00AB4029">
        <w:rPr>
          <w:b/>
          <w:color w:val="002060"/>
          <w:sz w:val="24"/>
          <w:szCs w:val="24"/>
        </w:rPr>
        <w:t>EPF recommendations:</w:t>
      </w:r>
    </w:p>
    <w:p w:rsidR="00A02586" w:rsidRPr="0097392A" w:rsidRDefault="00A02586" w:rsidP="0097392A">
      <w:pPr>
        <w:pStyle w:val="ListParagraph"/>
        <w:numPr>
          <w:ilvl w:val="0"/>
          <w:numId w:val="29"/>
        </w:numPr>
        <w:spacing w:after="80"/>
        <w:ind w:left="425" w:hanging="357"/>
        <w:contextualSpacing w:val="0"/>
        <w:jc w:val="both"/>
        <w:rPr>
          <w:color w:val="002060"/>
          <w:sz w:val="24"/>
          <w:szCs w:val="24"/>
        </w:rPr>
      </w:pPr>
      <w:r w:rsidRPr="0097392A">
        <w:rPr>
          <w:color w:val="002060"/>
          <w:sz w:val="24"/>
          <w:szCs w:val="24"/>
        </w:rPr>
        <w:t xml:space="preserve">The </w:t>
      </w:r>
      <w:r w:rsidR="00FD3C5D" w:rsidRPr="0097392A">
        <w:rPr>
          <w:color w:val="002060"/>
          <w:sz w:val="24"/>
          <w:szCs w:val="24"/>
        </w:rPr>
        <w:t>Commission</w:t>
      </w:r>
      <w:r w:rsidRPr="0097392A">
        <w:rPr>
          <w:color w:val="002060"/>
          <w:sz w:val="24"/>
          <w:szCs w:val="24"/>
        </w:rPr>
        <w:t xml:space="preserve"> should work closely with patient groups to raise awareness of European Reference Networks and centres of excellence, and to ensure that they function in a patient centred way.</w:t>
      </w:r>
    </w:p>
    <w:p w:rsidR="00DB5D42" w:rsidRPr="0097392A" w:rsidRDefault="00DB5D42" w:rsidP="00AB4029">
      <w:pPr>
        <w:pStyle w:val="ListParagraph"/>
        <w:numPr>
          <w:ilvl w:val="0"/>
          <w:numId w:val="29"/>
        </w:numPr>
        <w:spacing w:after="120"/>
        <w:ind w:left="426"/>
        <w:jc w:val="both"/>
        <w:rPr>
          <w:color w:val="002060"/>
          <w:sz w:val="24"/>
          <w:szCs w:val="24"/>
        </w:rPr>
      </w:pPr>
      <w:r w:rsidRPr="0097392A">
        <w:rPr>
          <w:color w:val="002060"/>
          <w:sz w:val="24"/>
          <w:szCs w:val="24"/>
        </w:rPr>
        <w:t>A sustainable funding mechanism should be set up for ERNs at European level.</w:t>
      </w:r>
    </w:p>
    <w:p w:rsidR="007778F0" w:rsidRPr="00AB4029" w:rsidRDefault="007778F0" w:rsidP="0097392A">
      <w:pPr>
        <w:spacing w:after="240"/>
        <w:jc w:val="both"/>
        <w:rPr>
          <w:b/>
          <w:color w:val="C00000"/>
          <w:sz w:val="24"/>
          <w:szCs w:val="24"/>
        </w:rPr>
      </w:pPr>
      <w:r w:rsidRPr="00AB4029">
        <w:rPr>
          <w:b/>
          <w:color w:val="C00000"/>
          <w:sz w:val="24"/>
          <w:szCs w:val="24"/>
        </w:rPr>
        <w:t>If you represent a rare disease organisation, please feel free to add recommendations to this section</w:t>
      </w:r>
      <w:r w:rsidR="00366E75" w:rsidRPr="00AB4029">
        <w:rPr>
          <w:b/>
          <w:color w:val="C00000"/>
          <w:sz w:val="24"/>
          <w:szCs w:val="24"/>
        </w:rPr>
        <w:t xml:space="preserve"> or let us know about your experience</w:t>
      </w:r>
      <w:r w:rsidRPr="00AB4029">
        <w:rPr>
          <w:b/>
          <w:color w:val="C00000"/>
          <w:sz w:val="24"/>
          <w:szCs w:val="24"/>
        </w:rPr>
        <w:t>.</w:t>
      </w:r>
    </w:p>
    <w:p w:rsidR="00C406D0" w:rsidRPr="007778F0" w:rsidRDefault="00C406D0" w:rsidP="007778F0">
      <w:pPr>
        <w:pStyle w:val="Heading2"/>
        <w:spacing w:before="0" w:after="60"/>
        <w:rPr>
          <w:rFonts w:asciiTheme="minorHAnsi" w:hAnsiTheme="minorHAnsi"/>
          <w:i/>
          <w:sz w:val="24"/>
        </w:rPr>
      </w:pPr>
      <w:bookmarkStart w:id="19" w:name="_Toc442730515"/>
      <w:r w:rsidRPr="007778F0">
        <w:rPr>
          <w:rFonts w:asciiTheme="minorHAnsi" w:hAnsiTheme="minorHAnsi"/>
          <w:i/>
          <w:sz w:val="24"/>
        </w:rPr>
        <w:t>The eHealth Network</w:t>
      </w:r>
      <w:bookmarkEnd w:id="19"/>
      <w:r w:rsidRPr="007778F0">
        <w:rPr>
          <w:rFonts w:asciiTheme="minorHAnsi" w:hAnsiTheme="minorHAnsi"/>
          <w:i/>
          <w:sz w:val="24"/>
        </w:rPr>
        <w:t xml:space="preserve">  </w:t>
      </w:r>
    </w:p>
    <w:p w:rsidR="00C406D0" w:rsidRPr="009E1E53" w:rsidRDefault="00C406D0" w:rsidP="00C406D0">
      <w:pPr>
        <w:spacing w:after="120"/>
        <w:jc w:val="both"/>
        <w:rPr>
          <w:sz w:val="24"/>
          <w:szCs w:val="24"/>
        </w:rPr>
      </w:pPr>
      <w:r w:rsidRPr="009E1E53">
        <w:rPr>
          <w:sz w:val="24"/>
          <w:szCs w:val="24"/>
        </w:rPr>
        <w:t xml:space="preserve">EPF argued strongly for the importance of including eHealth and telemedicine in the Directive. </w:t>
      </w:r>
      <w:r w:rsidR="00964A44">
        <w:rPr>
          <w:sz w:val="24"/>
          <w:szCs w:val="24"/>
        </w:rPr>
        <w:t>I</w:t>
      </w:r>
      <w:r w:rsidR="00AE0677">
        <w:rPr>
          <w:sz w:val="24"/>
          <w:szCs w:val="24"/>
        </w:rPr>
        <w:t>f</w:t>
      </w:r>
      <w:r w:rsidR="00964A44">
        <w:rPr>
          <w:sz w:val="24"/>
          <w:szCs w:val="24"/>
        </w:rPr>
        <w:t xml:space="preserve"> </w:t>
      </w:r>
      <w:r w:rsidR="00AE0677">
        <w:rPr>
          <w:sz w:val="24"/>
          <w:szCs w:val="24"/>
        </w:rPr>
        <w:t>implemented effectively</w:t>
      </w:r>
      <w:r w:rsidR="00964A44">
        <w:rPr>
          <w:sz w:val="24"/>
          <w:szCs w:val="24"/>
        </w:rPr>
        <w:t>, eHealth</w:t>
      </w:r>
      <w:r w:rsidR="00AE0677">
        <w:rPr>
          <w:sz w:val="24"/>
          <w:szCs w:val="24"/>
        </w:rPr>
        <w:t xml:space="preserve"> has the potential to increase access to healthcare </w:t>
      </w:r>
      <w:r w:rsidR="00964A44">
        <w:rPr>
          <w:sz w:val="24"/>
          <w:szCs w:val="24"/>
        </w:rPr>
        <w:t xml:space="preserve">across </w:t>
      </w:r>
      <w:r w:rsidR="00964A44">
        <w:rPr>
          <w:sz w:val="24"/>
          <w:szCs w:val="24"/>
        </w:rPr>
        <w:lastRenderedPageBreak/>
        <w:t xml:space="preserve">and within </w:t>
      </w:r>
      <w:r w:rsidR="00FD3C5D">
        <w:rPr>
          <w:sz w:val="24"/>
          <w:szCs w:val="24"/>
        </w:rPr>
        <w:t>Member State</w:t>
      </w:r>
      <w:r w:rsidR="00964A44">
        <w:rPr>
          <w:sz w:val="24"/>
          <w:szCs w:val="24"/>
        </w:rPr>
        <w:t xml:space="preserve">s, </w:t>
      </w:r>
      <w:r w:rsidR="00AE0677">
        <w:rPr>
          <w:sz w:val="24"/>
          <w:szCs w:val="24"/>
        </w:rPr>
        <w:t>as well as</w:t>
      </w:r>
      <w:r w:rsidRPr="009E1E53">
        <w:rPr>
          <w:sz w:val="24"/>
          <w:szCs w:val="24"/>
        </w:rPr>
        <w:t xml:space="preserve"> </w:t>
      </w:r>
      <w:r w:rsidR="00964A44">
        <w:rPr>
          <w:sz w:val="24"/>
          <w:szCs w:val="24"/>
        </w:rPr>
        <w:t xml:space="preserve">improve </w:t>
      </w:r>
      <w:r w:rsidRPr="009E1E53">
        <w:rPr>
          <w:sz w:val="24"/>
          <w:szCs w:val="24"/>
        </w:rPr>
        <w:t>patient safety</w:t>
      </w:r>
      <w:r w:rsidR="00964A44">
        <w:rPr>
          <w:sz w:val="24"/>
          <w:szCs w:val="24"/>
        </w:rPr>
        <w:t xml:space="preserve"> in particular through more effective communication and </w:t>
      </w:r>
      <w:r w:rsidRPr="009E1E53">
        <w:rPr>
          <w:sz w:val="24"/>
          <w:szCs w:val="24"/>
        </w:rPr>
        <w:t>continuity of care.</w:t>
      </w:r>
      <w:r w:rsidR="007778F0">
        <w:rPr>
          <w:sz w:val="24"/>
          <w:szCs w:val="24"/>
        </w:rPr>
        <w:t xml:space="preserve"> </w:t>
      </w:r>
      <w:r w:rsidRPr="009E1E53">
        <w:rPr>
          <w:sz w:val="24"/>
          <w:szCs w:val="24"/>
        </w:rPr>
        <w:t xml:space="preserve">Effective patient information, shared electronically, is a crucial patient safety support </w:t>
      </w:r>
      <w:r w:rsidR="00AE0677">
        <w:rPr>
          <w:sz w:val="24"/>
          <w:szCs w:val="24"/>
        </w:rPr>
        <w:t xml:space="preserve">in a domestic context as well as in </w:t>
      </w:r>
      <w:r w:rsidRPr="009E1E53">
        <w:rPr>
          <w:sz w:val="24"/>
          <w:szCs w:val="24"/>
        </w:rPr>
        <w:t xml:space="preserve">cross-border care. </w:t>
      </w:r>
    </w:p>
    <w:p w:rsidR="00AE0677" w:rsidRDefault="00C406D0" w:rsidP="00C406D0">
      <w:pPr>
        <w:spacing w:after="120"/>
        <w:jc w:val="both"/>
        <w:rPr>
          <w:sz w:val="24"/>
          <w:szCs w:val="24"/>
        </w:rPr>
      </w:pPr>
      <w:r w:rsidRPr="009E1E53">
        <w:rPr>
          <w:sz w:val="24"/>
          <w:szCs w:val="24"/>
        </w:rPr>
        <w:t xml:space="preserve">Involving end-users </w:t>
      </w:r>
      <w:r w:rsidR="00AE0677">
        <w:rPr>
          <w:sz w:val="24"/>
          <w:szCs w:val="24"/>
        </w:rPr>
        <w:t xml:space="preserve">– both patients and professionals – </w:t>
      </w:r>
      <w:r w:rsidRPr="009E1E53">
        <w:rPr>
          <w:sz w:val="24"/>
          <w:szCs w:val="24"/>
        </w:rPr>
        <w:t xml:space="preserve">will build confidence </w:t>
      </w:r>
      <w:r w:rsidR="00AE0677">
        <w:rPr>
          <w:sz w:val="24"/>
          <w:szCs w:val="24"/>
        </w:rPr>
        <w:t xml:space="preserve">in and encourage uptake of </w:t>
      </w:r>
      <w:r w:rsidRPr="009E1E53">
        <w:rPr>
          <w:sz w:val="24"/>
          <w:szCs w:val="24"/>
        </w:rPr>
        <w:t>eHealth tools.</w:t>
      </w:r>
      <w:r w:rsidR="007778F0">
        <w:rPr>
          <w:rStyle w:val="FootnoteReference"/>
          <w:sz w:val="24"/>
          <w:szCs w:val="24"/>
        </w:rPr>
        <w:footnoteReference w:id="27"/>
      </w:r>
      <w:r w:rsidR="00964A44">
        <w:rPr>
          <w:sz w:val="24"/>
          <w:szCs w:val="24"/>
        </w:rPr>
        <w:t xml:space="preserve"> </w:t>
      </w:r>
      <w:r w:rsidR="007778F0">
        <w:rPr>
          <w:sz w:val="24"/>
          <w:szCs w:val="24"/>
        </w:rPr>
        <w:t>Pa</w:t>
      </w:r>
      <w:r w:rsidRPr="009E1E53">
        <w:rPr>
          <w:sz w:val="24"/>
          <w:szCs w:val="24"/>
        </w:rPr>
        <w:t>tients play a key role in identifying what</w:t>
      </w:r>
      <w:r w:rsidR="00AE0677">
        <w:rPr>
          <w:sz w:val="24"/>
          <w:szCs w:val="24"/>
        </w:rPr>
        <w:t xml:space="preserve"> information is needed </w:t>
      </w:r>
      <w:r w:rsidRPr="009E1E53">
        <w:rPr>
          <w:sz w:val="24"/>
          <w:szCs w:val="24"/>
        </w:rPr>
        <w:t>for safe</w:t>
      </w:r>
      <w:r w:rsidR="00AE0677">
        <w:rPr>
          <w:sz w:val="24"/>
          <w:szCs w:val="24"/>
        </w:rPr>
        <w:t>ty and</w:t>
      </w:r>
      <w:r w:rsidRPr="009E1E53">
        <w:rPr>
          <w:sz w:val="24"/>
          <w:szCs w:val="24"/>
        </w:rPr>
        <w:t xml:space="preserve"> continuity of care, and </w:t>
      </w:r>
      <w:r w:rsidR="00AE0677">
        <w:rPr>
          <w:sz w:val="24"/>
          <w:szCs w:val="24"/>
        </w:rPr>
        <w:t xml:space="preserve">can </w:t>
      </w:r>
      <w:r w:rsidRPr="009E1E53">
        <w:rPr>
          <w:sz w:val="24"/>
          <w:szCs w:val="24"/>
        </w:rPr>
        <w:t xml:space="preserve">provide advice on the </w:t>
      </w:r>
      <w:r w:rsidR="00AE0677">
        <w:rPr>
          <w:sz w:val="24"/>
          <w:szCs w:val="24"/>
        </w:rPr>
        <w:t xml:space="preserve">ethical </w:t>
      </w:r>
      <w:r w:rsidRPr="009E1E53">
        <w:rPr>
          <w:sz w:val="24"/>
          <w:szCs w:val="24"/>
        </w:rPr>
        <w:t xml:space="preserve">use of </w:t>
      </w:r>
      <w:r w:rsidR="00AE0677">
        <w:rPr>
          <w:sz w:val="24"/>
          <w:szCs w:val="24"/>
        </w:rPr>
        <w:t xml:space="preserve">patient </w:t>
      </w:r>
      <w:r w:rsidRPr="009E1E53">
        <w:rPr>
          <w:sz w:val="24"/>
          <w:szCs w:val="24"/>
        </w:rPr>
        <w:t xml:space="preserve">information for public health and research purposes. </w:t>
      </w:r>
    </w:p>
    <w:p w:rsidR="00943906" w:rsidRDefault="00943906" w:rsidP="00C406D0">
      <w:pPr>
        <w:spacing w:after="120"/>
        <w:jc w:val="both"/>
        <w:rPr>
          <w:sz w:val="24"/>
        </w:rPr>
      </w:pPr>
      <w:r w:rsidRPr="007778F0">
        <w:rPr>
          <w:i/>
          <w:sz w:val="24"/>
        </w:rPr>
        <w:t xml:space="preserve">Access to one’s </w:t>
      </w:r>
      <w:r w:rsidRPr="007778F0">
        <w:rPr>
          <w:bCs/>
          <w:i/>
          <w:sz w:val="24"/>
        </w:rPr>
        <w:t xml:space="preserve">health record </w:t>
      </w:r>
      <w:r w:rsidRPr="00943906">
        <w:rPr>
          <w:sz w:val="24"/>
        </w:rPr>
        <w:t xml:space="preserve">is key to patient empowerment and self-management. EPF believes that patients should be </w:t>
      </w:r>
      <w:r w:rsidRPr="00943906">
        <w:rPr>
          <w:i/>
          <w:iCs/>
          <w:sz w:val="24"/>
        </w:rPr>
        <w:t xml:space="preserve">co‐owners </w:t>
      </w:r>
      <w:r w:rsidRPr="00943906">
        <w:rPr>
          <w:sz w:val="24"/>
        </w:rPr>
        <w:t xml:space="preserve">of their health data, together with health professionals. Patients should not only have free access to their own health records, but the record – including mental and physical health should be designed so that it is at least partly controlled and ‘owned’ by the patient, who should have the ultimate say regarding access to their data and any secondary use. This is already a reality in some parts of EU </w:t>
      </w:r>
      <w:r w:rsidR="00FD3C5D">
        <w:rPr>
          <w:sz w:val="24"/>
        </w:rPr>
        <w:t>Member State</w:t>
      </w:r>
      <w:r w:rsidRPr="00943906">
        <w:rPr>
          <w:sz w:val="24"/>
        </w:rPr>
        <w:t>s; in others, patients cannot even access their own records easily, or they are charged fees for this.</w:t>
      </w:r>
      <w:r w:rsidR="00964A44" w:rsidRPr="00964A44">
        <w:rPr>
          <w:sz w:val="24"/>
          <w:szCs w:val="24"/>
        </w:rPr>
        <w:t xml:space="preserve"> </w:t>
      </w:r>
    </w:p>
    <w:p w:rsidR="00A02586" w:rsidRPr="00AB4029" w:rsidRDefault="007778F0" w:rsidP="00C406D0">
      <w:pPr>
        <w:spacing w:after="120"/>
        <w:jc w:val="both"/>
        <w:rPr>
          <w:b/>
          <w:color w:val="002060"/>
          <w:sz w:val="24"/>
        </w:rPr>
      </w:pPr>
      <w:r w:rsidRPr="00AB4029">
        <w:rPr>
          <w:b/>
          <w:color w:val="002060"/>
          <w:sz w:val="24"/>
        </w:rPr>
        <w:t>EPF recommendations:</w:t>
      </w:r>
    </w:p>
    <w:p w:rsidR="0097392A" w:rsidRPr="0097392A" w:rsidRDefault="0097392A" w:rsidP="0097392A">
      <w:pPr>
        <w:pStyle w:val="ListParagraph"/>
        <w:numPr>
          <w:ilvl w:val="0"/>
          <w:numId w:val="24"/>
        </w:numPr>
        <w:spacing w:after="80"/>
        <w:ind w:left="357" w:hanging="357"/>
        <w:contextualSpacing w:val="0"/>
        <w:jc w:val="both"/>
        <w:rPr>
          <w:color w:val="002060"/>
          <w:sz w:val="24"/>
          <w:szCs w:val="24"/>
        </w:rPr>
      </w:pPr>
      <w:r w:rsidRPr="0097392A">
        <w:rPr>
          <w:color w:val="002060"/>
          <w:sz w:val="24"/>
          <w:szCs w:val="24"/>
        </w:rPr>
        <w:t>Promotion of e-health interoperability should be a priority to improve global patient records and continuity of care.</w:t>
      </w:r>
    </w:p>
    <w:p w:rsidR="00AE0677" w:rsidRPr="0097392A" w:rsidRDefault="00964A44" w:rsidP="0097392A">
      <w:pPr>
        <w:pStyle w:val="ListParagraph"/>
        <w:numPr>
          <w:ilvl w:val="0"/>
          <w:numId w:val="24"/>
        </w:numPr>
        <w:spacing w:after="80"/>
        <w:ind w:left="357" w:hanging="357"/>
        <w:contextualSpacing w:val="0"/>
        <w:jc w:val="both"/>
        <w:rPr>
          <w:color w:val="002060"/>
          <w:sz w:val="24"/>
          <w:szCs w:val="24"/>
        </w:rPr>
      </w:pPr>
      <w:r w:rsidRPr="0097392A">
        <w:rPr>
          <w:color w:val="002060"/>
          <w:sz w:val="24"/>
          <w:szCs w:val="24"/>
        </w:rPr>
        <w:t>N</w:t>
      </w:r>
      <w:r w:rsidR="00C406D0" w:rsidRPr="0097392A">
        <w:rPr>
          <w:color w:val="002060"/>
          <w:sz w:val="24"/>
          <w:szCs w:val="24"/>
        </w:rPr>
        <w:t xml:space="preserve">ational bodies involved </w:t>
      </w:r>
      <w:r w:rsidR="00AE0677" w:rsidRPr="0097392A">
        <w:rPr>
          <w:color w:val="002060"/>
          <w:sz w:val="24"/>
          <w:szCs w:val="24"/>
        </w:rPr>
        <w:t xml:space="preserve">in the eHealth </w:t>
      </w:r>
      <w:r w:rsidRPr="0097392A">
        <w:rPr>
          <w:color w:val="002060"/>
          <w:sz w:val="24"/>
          <w:szCs w:val="24"/>
        </w:rPr>
        <w:t xml:space="preserve">and HTA </w:t>
      </w:r>
      <w:r w:rsidR="00AE0677" w:rsidRPr="0097392A">
        <w:rPr>
          <w:color w:val="002060"/>
          <w:sz w:val="24"/>
          <w:szCs w:val="24"/>
        </w:rPr>
        <w:t>network</w:t>
      </w:r>
      <w:r w:rsidRPr="0097392A">
        <w:rPr>
          <w:color w:val="002060"/>
          <w:sz w:val="24"/>
          <w:szCs w:val="24"/>
        </w:rPr>
        <w:t>s</w:t>
      </w:r>
      <w:r w:rsidR="00AE0677" w:rsidRPr="0097392A">
        <w:rPr>
          <w:color w:val="002060"/>
          <w:sz w:val="24"/>
          <w:szCs w:val="24"/>
        </w:rPr>
        <w:t xml:space="preserve"> </w:t>
      </w:r>
      <w:r w:rsidR="00C406D0" w:rsidRPr="0097392A">
        <w:rPr>
          <w:color w:val="002060"/>
          <w:sz w:val="24"/>
          <w:szCs w:val="24"/>
        </w:rPr>
        <w:t xml:space="preserve">should engage </w:t>
      </w:r>
      <w:r w:rsidR="00AE0677" w:rsidRPr="0097392A">
        <w:rPr>
          <w:color w:val="002060"/>
          <w:sz w:val="24"/>
          <w:szCs w:val="24"/>
        </w:rPr>
        <w:t xml:space="preserve">actively </w:t>
      </w:r>
      <w:r w:rsidR="00C406D0" w:rsidRPr="0097392A">
        <w:rPr>
          <w:color w:val="002060"/>
          <w:sz w:val="24"/>
          <w:szCs w:val="24"/>
        </w:rPr>
        <w:t>with patient organisations</w:t>
      </w:r>
      <w:r w:rsidR="00AE0677" w:rsidRPr="0097392A">
        <w:rPr>
          <w:color w:val="002060"/>
          <w:sz w:val="24"/>
          <w:szCs w:val="24"/>
        </w:rPr>
        <w:t>.</w:t>
      </w:r>
    </w:p>
    <w:p w:rsidR="00C406D0" w:rsidRPr="0097392A" w:rsidRDefault="002B75A8" w:rsidP="00340291">
      <w:pPr>
        <w:pStyle w:val="ListParagraph"/>
        <w:numPr>
          <w:ilvl w:val="0"/>
          <w:numId w:val="24"/>
        </w:numPr>
        <w:spacing w:after="120"/>
        <w:jc w:val="both"/>
        <w:rPr>
          <w:color w:val="002060"/>
          <w:sz w:val="24"/>
          <w:szCs w:val="24"/>
        </w:rPr>
      </w:pPr>
      <w:r w:rsidRPr="0097392A">
        <w:rPr>
          <w:color w:val="002060"/>
          <w:sz w:val="24"/>
          <w:szCs w:val="24"/>
        </w:rPr>
        <w:t>Free and prompt access by patients to their own medical records should be implemented across the EU, not only in cross-border context.</w:t>
      </w:r>
      <w:r w:rsidR="00340291" w:rsidRPr="0097392A">
        <w:rPr>
          <w:color w:val="002060"/>
        </w:rPr>
        <w:t xml:space="preserve"> </w:t>
      </w:r>
      <w:r w:rsidR="00340291" w:rsidRPr="0097392A">
        <w:rPr>
          <w:color w:val="002060"/>
          <w:sz w:val="24"/>
          <w:szCs w:val="24"/>
        </w:rPr>
        <w:t>The electronic health record should be made accessible to people with different disabilities and impairments.</w:t>
      </w:r>
    </w:p>
    <w:p w:rsidR="007778F0" w:rsidRPr="00AB4029" w:rsidRDefault="007778F0" w:rsidP="00AB4029">
      <w:pPr>
        <w:spacing w:after="120"/>
        <w:jc w:val="both"/>
        <w:rPr>
          <w:b/>
          <w:color w:val="C00000"/>
          <w:sz w:val="24"/>
        </w:rPr>
      </w:pPr>
      <w:r w:rsidRPr="00AB4029">
        <w:rPr>
          <w:b/>
          <w:color w:val="C00000"/>
          <w:sz w:val="24"/>
        </w:rPr>
        <w:t>Is patients’ access to their medical record (electronic or otherwise) easy and free in your country?</w:t>
      </w:r>
    </w:p>
    <w:p w:rsidR="00D30EB0" w:rsidRPr="00D30EB0" w:rsidRDefault="00D30EB0" w:rsidP="00D30EB0">
      <w:pPr>
        <w:spacing w:after="120"/>
        <w:jc w:val="both"/>
        <w:rPr>
          <w:sz w:val="24"/>
          <w:szCs w:val="24"/>
        </w:rPr>
      </w:pPr>
    </w:p>
    <w:p w:rsidR="00A02586" w:rsidRPr="008D2460" w:rsidRDefault="00A02586" w:rsidP="008D2460">
      <w:pPr>
        <w:pStyle w:val="Heading2"/>
        <w:spacing w:before="0" w:after="60"/>
        <w:rPr>
          <w:rFonts w:asciiTheme="minorHAnsi" w:hAnsiTheme="minorHAnsi"/>
          <w:i/>
          <w:sz w:val="24"/>
        </w:rPr>
      </w:pPr>
      <w:bookmarkStart w:id="20" w:name="_Toc442730516"/>
      <w:r w:rsidRPr="008D2460">
        <w:rPr>
          <w:rFonts w:asciiTheme="minorHAnsi" w:hAnsiTheme="minorHAnsi"/>
          <w:i/>
          <w:sz w:val="24"/>
        </w:rPr>
        <w:t>Health Technology Assessment</w:t>
      </w:r>
      <w:bookmarkEnd w:id="20"/>
      <w:r w:rsidRPr="008D2460">
        <w:rPr>
          <w:rFonts w:asciiTheme="minorHAnsi" w:hAnsiTheme="minorHAnsi"/>
          <w:i/>
          <w:sz w:val="24"/>
        </w:rPr>
        <w:t xml:space="preserve"> </w:t>
      </w:r>
    </w:p>
    <w:p w:rsidR="00EA7372" w:rsidRDefault="008D2460" w:rsidP="00EA7372">
      <w:pPr>
        <w:spacing w:after="120"/>
        <w:jc w:val="both"/>
        <w:rPr>
          <w:sz w:val="24"/>
          <w:szCs w:val="24"/>
        </w:rPr>
      </w:pPr>
      <w:r w:rsidRPr="008D2460">
        <w:rPr>
          <w:sz w:val="24"/>
          <w:szCs w:val="24"/>
        </w:rPr>
        <w:t>The Directive established a voluntary network for cooperation between the bodies and authorities in Member States responsible for health technology assessment (HTA). The HTA network was established through a Commission implementing decision20 in June 2013.</w:t>
      </w:r>
      <w:r>
        <w:rPr>
          <w:rStyle w:val="FootnoteReference"/>
          <w:sz w:val="24"/>
          <w:szCs w:val="24"/>
        </w:rPr>
        <w:footnoteReference w:id="28"/>
      </w:r>
      <w:r w:rsidR="00EA7372">
        <w:rPr>
          <w:sz w:val="24"/>
          <w:szCs w:val="24"/>
        </w:rPr>
        <w:t xml:space="preserve"> The objectives of the network are </w:t>
      </w:r>
      <w:r w:rsidR="00EA7372" w:rsidRPr="00EA7372">
        <w:rPr>
          <w:sz w:val="24"/>
          <w:szCs w:val="24"/>
        </w:rPr>
        <w:t>to support cooperation between national bodies responsible for HTA</w:t>
      </w:r>
      <w:r w:rsidR="00EA7372">
        <w:rPr>
          <w:sz w:val="24"/>
          <w:szCs w:val="24"/>
        </w:rPr>
        <w:t xml:space="preserve">, to avoid duplication and increase efficiency. </w:t>
      </w:r>
    </w:p>
    <w:p w:rsidR="00A02586" w:rsidRDefault="009E1004" w:rsidP="00EA7372">
      <w:pPr>
        <w:spacing w:after="120"/>
        <w:jc w:val="both"/>
        <w:rPr>
          <w:sz w:val="24"/>
          <w:szCs w:val="24"/>
        </w:rPr>
      </w:pPr>
      <w:r w:rsidRPr="009E1004">
        <w:rPr>
          <w:sz w:val="24"/>
          <w:szCs w:val="24"/>
        </w:rPr>
        <w:lastRenderedPageBreak/>
        <w:t>EPF advocate</w:t>
      </w:r>
      <w:r>
        <w:rPr>
          <w:sz w:val="24"/>
          <w:szCs w:val="24"/>
        </w:rPr>
        <w:t>s</w:t>
      </w:r>
      <w:r w:rsidRPr="009E1004">
        <w:rPr>
          <w:sz w:val="24"/>
          <w:szCs w:val="24"/>
        </w:rPr>
        <w:t xml:space="preserve"> to promote patients and </w:t>
      </w:r>
      <w:r>
        <w:rPr>
          <w:sz w:val="24"/>
          <w:szCs w:val="24"/>
        </w:rPr>
        <w:t xml:space="preserve">patient organisations’ </w:t>
      </w:r>
      <w:r w:rsidRPr="009E1004">
        <w:rPr>
          <w:sz w:val="24"/>
          <w:szCs w:val="24"/>
        </w:rPr>
        <w:t xml:space="preserve">involvement in HTA processes, </w:t>
      </w:r>
      <w:r>
        <w:rPr>
          <w:sz w:val="24"/>
          <w:szCs w:val="24"/>
        </w:rPr>
        <w:t xml:space="preserve">via </w:t>
      </w:r>
      <w:r w:rsidRPr="009E1004">
        <w:rPr>
          <w:sz w:val="24"/>
          <w:szCs w:val="24"/>
        </w:rPr>
        <w:t xml:space="preserve">fora such as </w:t>
      </w:r>
      <w:proofErr w:type="spellStart"/>
      <w:r w:rsidRPr="009E1004">
        <w:rPr>
          <w:sz w:val="24"/>
          <w:szCs w:val="24"/>
        </w:rPr>
        <w:t>HTAi</w:t>
      </w:r>
      <w:proofErr w:type="spellEnd"/>
      <w:r w:rsidRPr="009E1004">
        <w:rPr>
          <w:sz w:val="24"/>
          <w:szCs w:val="24"/>
        </w:rPr>
        <w:t>, ISPOR and EU projects</w:t>
      </w:r>
      <w:r w:rsidR="008D2460">
        <w:rPr>
          <w:sz w:val="24"/>
          <w:szCs w:val="24"/>
        </w:rPr>
        <w:t xml:space="preserve"> (</w:t>
      </w:r>
      <w:proofErr w:type="spellStart"/>
      <w:r w:rsidRPr="009E1004">
        <w:rPr>
          <w:sz w:val="24"/>
          <w:szCs w:val="24"/>
        </w:rPr>
        <w:t>EUNetHTA</w:t>
      </w:r>
      <w:proofErr w:type="spellEnd"/>
      <w:r w:rsidRPr="009E1004">
        <w:rPr>
          <w:sz w:val="24"/>
          <w:szCs w:val="24"/>
        </w:rPr>
        <w:t xml:space="preserve"> stakeholder Forum</w:t>
      </w:r>
      <w:r w:rsidR="008D2460">
        <w:rPr>
          <w:sz w:val="24"/>
          <w:szCs w:val="24"/>
        </w:rPr>
        <w:t>)</w:t>
      </w:r>
      <w:r w:rsidRPr="009E1004">
        <w:rPr>
          <w:sz w:val="24"/>
          <w:szCs w:val="24"/>
        </w:rPr>
        <w:t xml:space="preserve"> and </w:t>
      </w:r>
      <w:r w:rsidR="008D2460">
        <w:rPr>
          <w:sz w:val="24"/>
          <w:szCs w:val="24"/>
        </w:rPr>
        <w:t xml:space="preserve">the </w:t>
      </w:r>
      <w:r w:rsidRPr="009E1004">
        <w:rPr>
          <w:sz w:val="24"/>
          <w:szCs w:val="24"/>
        </w:rPr>
        <w:t>HTA network.</w:t>
      </w:r>
    </w:p>
    <w:p w:rsidR="008D2460" w:rsidRPr="00AB4029" w:rsidRDefault="008D2460" w:rsidP="009E1004">
      <w:pPr>
        <w:spacing w:after="120"/>
        <w:jc w:val="both"/>
        <w:rPr>
          <w:b/>
          <w:color w:val="002060"/>
          <w:sz w:val="24"/>
          <w:szCs w:val="24"/>
        </w:rPr>
      </w:pPr>
      <w:r w:rsidRPr="00AB4029">
        <w:rPr>
          <w:b/>
          <w:color w:val="002060"/>
          <w:sz w:val="24"/>
          <w:szCs w:val="24"/>
        </w:rPr>
        <w:t>EPF recommendations:</w:t>
      </w:r>
    </w:p>
    <w:p w:rsidR="0097392A" w:rsidRDefault="00190859" w:rsidP="00253EFE">
      <w:pPr>
        <w:pStyle w:val="ListParagraph"/>
        <w:numPr>
          <w:ilvl w:val="0"/>
          <w:numId w:val="24"/>
        </w:numPr>
        <w:spacing w:after="80"/>
        <w:ind w:left="357" w:hanging="357"/>
        <w:contextualSpacing w:val="0"/>
        <w:jc w:val="both"/>
        <w:rPr>
          <w:color w:val="002060"/>
          <w:sz w:val="24"/>
          <w:szCs w:val="24"/>
        </w:rPr>
      </w:pPr>
      <w:r w:rsidRPr="0097392A">
        <w:rPr>
          <w:color w:val="002060"/>
          <w:sz w:val="24"/>
          <w:szCs w:val="24"/>
        </w:rPr>
        <w:t xml:space="preserve">An EU strategy for HTA </w:t>
      </w:r>
      <w:r w:rsidR="0097392A">
        <w:rPr>
          <w:color w:val="002060"/>
          <w:sz w:val="24"/>
          <w:szCs w:val="24"/>
        </w:rPr>
        <w:t xml:space="preserve">collaboration </w:t>
      </w:r>
      <w:r w:rsidRPr="0097392A">
        <w:rPr>
          <w:color w:val="002060"/>
          <w:sz w:val="24"/>
          <w:szCs w:val="24"/>
        </w:rPr>
        <w:t xml:space="preserve">post-2020  should entail not </w:t>
      </w:r>
      <w:r w:rsidR="00AB4029" w:rsidRPr="0097392A">
        <w:rPr>
          <w:color w:val="002060"/>
          <w:sz w:val="24"/>
          <w:szCs w:val="24"/>
        </w:rPr>
        <w:t>only</w:t>
      </w:r>
      <w:r w:rsidRPr="0097392A">
        <w:rPr>
          <w:color w:val="002060"/>
          <w:sz w:val="24"/>
          <w:szCs w:val="24"/>
        </w:rPr>
        <w:t xml:space="preserve"> legal and financial dimensions, but also a structural dimension that allows </w:t>
      </w:r>
      <w:r w:rsidR="00AB4029" w:rsidRPr="0097392A">
        <w:rPr>
          <w:color w:val="002060"/>
          <w:sz w:val="24"/>
          <w:szCs w:val="24"/>
        </w:rPr>
        <w:t xml:space="preserve">the </w:t>
      </w:r>
      <w:r w:rsidRPr="0097392A">
        <w:rPr>
          <w:color w:val="002060"/>
          <w:sz w:val="24"/>
          <w:szCs w:val="24"/>
        </w:rPr>
        <w:t>effective involvement of patients</w:t>
      </w:r>
      <w:r w:rsidR="00AB4029" w:rsidRPr="0097392A">
        <w:rPr>
          <w:color w:val="002060"/>
          <w:sz w:val="24"/>
          <w:szCs w:val="24"/>
        </w:rPr>
        <w:t xml:space="preserve">, in line </w:t>
      </w:r>
      <w:r w:rsidRPr="0097392A">
        <w:rPr>
          <w:color w:val="002060"/>
          <w:sz w:val="24"/>
          <w:szCs w:val="24"/>
        </w:rPr>
        <w:t xml:space="preserve">with the Values and Quality Standards for patient involvement in HTA  set by </w:t>
      </w:r>
      <w:proofErr w:type="spellStart"/>
      <w:r w:rsidRPr="0097392A">
        <w:rPr>
          <w:color w:val="002060"/>
          <w:sz w:val="24"/>
          <w:szCs w:val="24"/>
        </w:rPr>
        <w:t>HTAi</w:t>
      </w:r>
      <w:proofErr w:type="spellEnd"/>
      <w:r w:rsidR="0097392A">
        <w:rPr>
          <w:color w:val="002060"/>
          <w:sz w:val="24"/>
          <w:szCs w:val="24"/>
        </w:rPr>
        <w:t xml:space="preserve"> and the definition of “meaningful patient involvement” developed by the Value+ project</w:t>
      </w:r>
      <w:r w:rsidR="0097392A">
        <w:rPr>
          <w:rStyle w:val="FootnoteReference"/>
          <w:color w:val="002060"/>
          <w:sz w:val="24"/>
          <w:szCs w:val="24"/>
        </w:rPr>
        <w:footnoteReference w:id="29"/>
      </w:r>
      <w:r w:rsidRPr="0097392A">
        <w:rPr>
          <w:color w:val="002060"/>
          <w:sz w:val="24"/>
          <w:szCs w:val="24"/>
        </w:rPr>
        <w:t>.</w:t>
      </w:r>
    </w:p>
    <w:p w:rsidR="002B75A8" w:rsidRPr="0097392A" w:rsidRDefault="00190859" w:rsidP="00253EFE">
      <w:pPr>
        <w:pStyle w:val="ListParagraph"/>
        <w:numPr>
          <w:ilvl w:val="0"/>
          <w:numId w:val="24"/>
        </w:numPr>
        <w:spacing w:after="80"/>
        <w:ind w:left="357" w:hanging="357"/>
        <w:contextualSpacing w:val="0"/>
        <w:jc w:val="both"/>
        <w:rPr>
          <w:color w:val="002060"/>
          <w:sz w:val="24"/>
          <w:szCs w:val="24"/>
        </w:rPr>
      </w:pPr>
      <w:r w:rsidRPr="0097392A">
        <w:rPr>
          <w:color w:val="002060"/>
          <w:sz w:val="24"/>
          <w:szCs w:val="24"/>
        </w:rPr>
        <w:t xml:space="preserve">Frameworks should be developed to systematically incorporate </w:t>
      </w:r>
      <w:r w:rsidR="00AB4029" w:rsidRPr="0097392A">
        <w:rPr>
          <w:color w:val="002060"/>
          <w:sz w:val="24"/>
          <w:szCs w:val="24"/>
        </w:rPr>
        <w:t xml:space="preserve">and encourage </w:t>
      </w:r>
      <w:r w:rsidRPr="0097392A">
        <w:rPr>
          <w:color w:val="002060"/>
          <w:sz w:val="24"/>
          <w:szCs w:val="24"/>
        </w:rPr>
        <w:t xml:space="preserve">patient input to HTAs. </w:t>
      </w:r>
    </w:p>
    <w:p w:rsidR="00A66787" w:rsidRPr="0097392A" w:rsidRDefault="00A66787" w:rsidP="00120B19">
      <w:pPr>
        <w:pStyle w:val="ListParagraph"/>
        <w:numPr>
          <w:ilvl w:val="0"/>
          <w:numId w:val="24"/>
        </w:numPr>
        <w:spacing w:after="120"/>
        <w:jc w:val="both"/>
        <w:rPr>
          <w:color w:val="002060"/>
          <w:sz w:val="24"/>
          <w:szCs w:val="24"/>
        </w:rPr>
      </w:pPr>
      <w:r w:rsidRPr="0097392A">
        <w:rPr>
          <w:color w:val="002060"/>
          <w:sz w:val="24"/>
          <w:szCs w:val="24"/>
        </w:rPr>
        <w:t xml:space="preserve">Patient representatives should receive appropriate, timely, and effective training so that they can best contribute to HTA. </w:t>
      </w:r>
    </w:p>
    <w:p w:rsidR="00A66787" w:rsidRPr="00A66787" w:rsidRDefault="00A66787" w:rsidP="00A66787">
      <w:pPr>
        <w:spacing w:after="120"/>
        <w:ind w:left="360"/>
        <w:jc w:val="both"/>
        <w:rPr>
          <w:sz w:val="24"/>
          <w:szCs w:val="24"/>
        </w:rPr>
      </w:pPr>
    </w:p>
    <w:p w:rsidR="003054B4" w:rsidRPr="00467FBC" w:rsidRDefault="0021094F" w:rsidP="00B33C63">
      <w:pPr>
        <w:pStyle w:val="Heading1"/>
        <w:numPr>
          <w:ilvl w:val="0"/>
          <w:numId w:val="28"/>
        </w:numPr>
        <w:spacing w:before="0" w:after="240" w:line="240" w:lineRule="auto"/>
        <w:rPr>
          <w:b/>
          <w:szCs w:val="24"/>
        </w:rPr>
      </w:pPr>
      <w:r>
        <w:rPr>
          <w:b/>
          <w:szCs w:val="24"/>
        </w:rPr>
        <w:t xml:space="preserve"> </w:t>
      </w:r>
      <w:bookmarkStart w:id="21" w:name="_Toc442730517"/>
      <w:r w:rsidR="003054B4" w:rsidRPr="00467FBC">
        <w:rPr>
          <w:b/>
          <w:szCs w:val="24"/>
        </w:rPr>
        <w:t>The role of patient organisations</w:t>
      </w:r>
      <w:bookmarkEnd w:id="21"/>
      <w:r w:rsidR="003054B4" w:rsidRPr="00467FBC">
        <w:rPr>
          <w:b/>
          <w:szCs w:val="24"/>
        </w:rPr>
        <w:t xml:space="preserve"> </w:t>
      </w:r>
    </w:p>
    <w:p w:rsidR="00886036" w:rsidRDefault="007D7AAD" w:rsidP="00886036">
      <w:pPr>
        <w:spacing w:after="120"/>
        <w:jc w:val="both"/>
        <w:rPr>
          <w:sz w:val="24"/>
          <w:szCs w:val="24"/>
        </w:rPr>
      </w:pPr>
      <w:r w:rsidRPr="007D7AAD">
        <w:rPr>
          <w:sz w:val="24"/>
          <w:szCs w:val="24"/>
        </w:rPr>
        <w:t xml:space="preserve">Patient organisations can play a powerful role. </w:t>
      </w:r>
      <w:r w:rsidR="00886036">
        <w:rPr>
          <w:sz w:val="24"/>
          <w:szCs w:val="24"/>
        </w:rPr>
        <w:t xml:space="preserve">They </w:t>
      </w:r>
      <w:r w:rsidR="00886036" w:rsidRPr="007D7AAD">
        <w:rPr>
          <w:sz w:val="24"/>
          <w:szCs w:val="24"/>
        </w:rPr>
        <w:t xml:space="preserve">have a wealth of expertise and can channel the direct patient experience during the “healthcare journey” to pinpoint areas of weakness or system failure, that is a valuable source of information for better health policy. </w:t>
      </w:r>
    </w:p>
    <w:p w:rsidR="00886036" w:rsidRPr="007D7AAD" w:rsidRDefault="007D7AAD" w:rsidP="00886036">
      <w:pPr>
        <w:spacing w:after="120"/>
        <w:jc w:val="both"/>
        <w:rPr>
          <w:sz w:val="24"/>
          <w:szCs w:val="24"/>
        </w:rPr>
      </w:pPr>
      <w:r w:rsidRPr="007D7AAD">
        <w:rPr>
          <w:sz w:val="24"/>
          <w:szCs w:val="24"/>
        </w:rPr>
        <w:t xml:space="preserve">By providing information to their communities </w:t>
      </w:r>
      <w:r w:rsidR="00886036">
        <w:rPr>
          <w:sz w:val="24"/>
          <w:szCs w:val="24"/>
        </w:rPr>
        <w:t xml:space="preserve">patient organisations are already </w:t>
      </w:r>
      <w:r w:rsidRPr="007D7AAD">
        <w:rPr>
          <w:sz w:val="24"/>
          <w:szCs w:val="24"/>
        </w:rPr>
        <w:t xml:space="preserve">providing a valuable service both to patient communities and the NCPs. </w:t>
      </w:r>
      <w:r w:rsidR="00886036">
        <w:rPr>
          <w:sz w:val="24"/>
          <w:szCs w:val="24"/>
        </w:rPr>
        <w:t xml:space="preserve">They can </w:t>
      </w:r>
      <w:r w:rsidR="0021094F" w:rsidRPr="009C7A6E">
        <w:rPr>
          <w:sz w:val="24"/>
          <w:szCs w:val="24"/>
        </w:rPr>
        <w:t xml:space="preserve">highlight challenges to national authorities and the </w:t>
      </w:r>
      <w:r w:rsidR="00FD3C5D">
        <w:rPr>
          <w:sz w:val="24"/>
          <w:szCs w:val="24"/>
        </w:rPr>
        <w:t>Commission</w:t>
      </w:r>
      <w:r w:rsidR="00886036">
        <w:rPr>
          <w:sz w:val="24"/>
          <w:szCs w:val="24"/>
        </w:rPr>
        <w:t xml:space="preserve"> but also participate in developing </w:t>
      </w:r>
      <w:r w:rsidR="0021094F" w:rsidRPr="009C7A6E">
        <w:rPr>
          <w:sz w:val="24"/>
          <w:szCs w:val="24"/>
        </w:rPr>
        <w:t>solution</w:t>
      </w:r>
      <w:r w:rsidR="00886036">
        <w:rPr>
          <w:sz w:val="24"/>
          <w:szCs w:val="24"/>
        </w:rPr>
        <w:t>s</w:t>
      </w:r>
      <w:r w:rsidR="0021094F" w:rsidRPr="009C7A6E">
        <w:rPr>
          <w:sz w:val="24"/>
          <w:szCs w:val="24"/>
        </w:rPr>
        <w:t>.</w:t>
      </w:r>
      <w:r w:rsidR="00886036" w:rsidRPr="00886036">
        <w:rPr>
          <w:sz w:val="24"/>
          <w:szCs w:val="24"/>
        </w:rPr>
        <w:t xml:space="preserve"> </w:t>
      </w:r>
      <w:r w:rsidR="00886036" w:rsidRPr="007D7AAD">
        <w:rPr>
          <w:sz w:val="24"/>
          <w:szCs w:val="24"/>
        </w:rPr>
        <w:t xml:space="preserve">They can provide feedback to </w:t>
      </w:r>
      <w:r w:rsidR="00886036">
        <w:rPr>
          <w:sz w:val="24"/>
          <w:szCs w:val="24"/>
        </w:rPr>
        <w:t>National Contact Point</w:t>
      </w:r>
      <w:r w:rsidR="00886036" w:rsidRPr="007D7AAD">
        <w:rPr>
          <w:sz w:val="24"/>
          <w:szCs w:val="24"/>
        </w:rPr>
        <w:t>s on the services and performance and collect patient stories of their experiences, which can help other patients but are also an important source of evidence for decision-makers</w:t>
      </w:r>
      <w:r w:rsidR="00886036">
        <w:rPr>
          <w:sz w:val="24"/>
          <w:szCs w:val="24"/>
        </w:rPr>
        <w:t>.</w:t>
      </w:r>
    </w:p>
    <w:p w:rsidR="00886036" w:rsidRPr="007D7AAD" w:rsidRDefault="00886036" w:rsidP="00886036">
      <w:pPr>
        <w:spacing w:after="120"/>
        <w:jc w:val="both"/>
        <w:rPr>
          <w:sz w:val="24"/>
          <w:szCs w:val="24"/>
        </w:rPr>
      </w:pPr>
      <w:r>
        <w:rPr>
          <w:sz w:val="24"/>
          <w:szCs w:val="24"/>
        </w:rPr>
        <w:t>I</w:t>
      </w:r>
      <w:r w:rsidRPr="007D7AAD">
        <w:rPr>
          <w:sz w:val="24"/>
          <w:szCs w:val="24"/>
        </w:rPr>
        <w:t xml:space="preserve">n situations where the NCP is under-resourced, the involvement of patients’ representatives should be considered as essential to providing information on quality and safety of care. </w:t>
      </w:r>
      <w:r w:rsidRPr="007D7AAD">
        <w:rPr>
          <w:i/>
          <w:sz w:val="24"/>
          <w:szCs w:val="24"/>
        </w:rPr>
        <w:t>Example</w:t>
      </w:r>
      <w:r w:rsidRPr="007D7AAD">
        <w:rPr>
          <w:sz w:val="24"/>
          <w:szCs w:val="24"/>
        </w:rPr>
        <w:t>: the EC report pointed out that many patients, because they do not know whether a treatment is subject to prior authorisation, request authorisation even when it is</w:t>
      </w:r>
      <w:r>
        <w:rPr>
          <w:sz w:val="24"/>
          <w:szCs w:val="24"/>
        </w:rPr>
        <w:t xml:space="preserve"> not</w:t>
      </w:r>
      <w:r w:rsidRPr="007D7AAD">
        <w:rPr>
          <w:sz w:val="24"/>
          <w:szCs w:val="24"/>
        </w:rPr>
        <w:t xml:space="preserve"> necessary</w:t>
      </w:r>
      <w:r>
        <w:rPr>
          <w:sz w:val="24"/>
          <w:szCs w:val="24"/>
        </w:rPr>
        <w:t>,</w:t>
      </w:r>
      <w:r w:rsidRPr="007D7AAD">
        <w:rPr>
          <w:sz w:val="24"/>
          <w:szCs w:val="24"/>
        </w:rPr>
        <w:t xml:space="preserve"> thus increasing the admin burden on the NCP. (</w:t>
      </w:r>
      <w:r>
        <w:rPr>
          <w:sz w:val="24"/>
          <w:szCs w:val="24"/>
        </w:rPr>
        <w:t>Commission’s</w:t>
      </w:r>
      <w:r w:rsidRPr="007D7AAD">
        <w:rPr>
          <w:sz w:val="24"/>
          <w:szCs w:val="24"/>
        </w:rPr>
        <w:t xml:space="preserve"> report, </w:t>
      </w:r>
      <w:r>
        <w:rPr>
          <w:sz w:val="24"/>
          <w:szCs w:val="24"/>
        </w:rPr>
        <w:t>p.</w:t>
      </w:r>
      <w:r w:rsidRPr="007D7AAD">
        <w:rPr>
          <w:sz w:val="24"/>
          <w:szCs w:val="24"/>
        </w:rPr>
        <w:t>5)</w:t>
      </w:r>
    </w:p>
    <w:p w:rsidR="00A27FF7" w:rsidRDefault="00A27FF7" w:rsidP="007D7AAD">
      <w:pPr>
        <w:spacing w:after="120"/>
        <w:jc w:val="both"/>
        <w:rPr>
          <w:sz w:val="24"/>
          <w:szCs w:val="24"/>
        </w:rPr>
      </w:pPr>
      <w:r>
        <w:rPr>
          <w:sz w:val="24"/>
          <w:szCs w:val="24"/>
        </w:rPr>
        <w:lastRenderedPageBreak/>
        <w:t xml:space="preserve">Currently NCPs are not engaging </w:t>
      </w:r>
      <w:r w:rsidR="0021094F">
        <w:rPr>
          <w:sz w:val="24"/>
          <w:szCs w:val="24"/>
        </w:rPr>
        <w:t xml:space="preserve">enough </w:t>
      </w:r>
      <w:r>
        <w:rPr>
          <w:sz w:val="24"/>
          <w:szCs w:val="24"/>
        </w:rPr>
        <w:t>with patient organisations.</w:t>
      </w:r>
      <w:r w:rsidR="0021094F">
        <w:rPr>
          <w:sz w:val="24"/>
          <w:szCs w:val="24"/>
        </w:rPr>
        <w:t xml:space="preserve"> A</w:t>
      </w:r>
      <w:r>
        <w:rPr>
          <w:sz w:val="24"/>
          <w:szCs w:val="24"/>
        </w:rPr>
        <w:t xml:space="preserve">lthough a few NCPs are keen to work with patients, “the attention given by the interviewed NCPs to patient organisations is almost non-existent.” </w:t>
      </w:r>
    </w:p>
    <w:p w:rsidR="007D7AAD" w:rsidRDefault="00886036" w:rsidP="007D7AAD">
      <w:pPr>
        <w:spacing w:after="120"/>
        <w:jc w:val="both"/>
        <w:rPr>
          <w:sz w:val="24"/>
          <w:szCs w:val="24"/>
        </w:rPr>
      </w:pPr>
      <w:r>
        <w:rPr>
          <w:sz w:val="24"/>
          <w:szCs w:val="24"/>
        </w:rPr>
        <w:t xml:space="preserve">It should be borne in mind that </w:t>
      </w:r>
      <w:r w:rsidR="007D7AAD" w:rsidRPr="007D7AAD">
        <w:rPr>
          <w:sz w:val="24"/>
          <w:szCs w:val="24"/>
        </w:rPr>
        <w:t>patient organisations are constrained by a chronic lack of resources in times of funding and staff. Some organisations function almost entirely on a voluntary basis. Only larger and well-funded patient organisations have sufficient resources to “plug the information gaps” and to collect useful data on demand and uptake. Furthermore, in some countries there is no umbrella organisation of patients at national level.</w:t>
      </w:r>
    </w:p>
    <w:p w:rsidR="00886036" w:rsidRDefault="00886036" w:rsidP="007D7AAD">
      <w:pPr>
        <w:spacing w:after="120"/>
        <w:jc w:val="both"/>
        <w:rPr>
          <w:sz w:val="24"/>
          <w:szCs w:val="24"/>
        </w:rPr>
      </w:pPr>
      <w:r>
        <w:rPr>
          <w:sz w:val="24"/>
          <w:szCs w:val="24"/>
        </w:rPr>
        <w:t>Please see also our recommendations on “the role of National contact points”, above.</w:t>
      </w:r>
    </w:p>
    <w:p w:rsidR="00886036" w:rsidRPr="00C822DF" w:rsidRDefault="00886036" w:rsidP="007D7AAD">
      <w:pPr>
        <w:spacing w:after="120"/>
        <w:jc w:val="both"/>
        <w:rPr>
          <w:b/>
          <w:color w:val="002060"/>
          <w:sz w:val="24"/>
          <w:szCs w:val="24"/>
        </w:rPr>
      </w:pPr>
      <w:r w:rsidRPr="00C822DF">
        <w:rPr>
          <w:b/>
          <w:color w:val="002060"/>
          <w:sz w:val="24"/>
          <w:szCs w:val="24"/>
        </w:rPr>
        <w:t>EPF recommendations:</w:t>
      </w:r>
    </w:p>
    <w:p w:rsidR="00094C89" w:rsidRPr="00253EFE" w:rsidRDefault="00094C89" w:rsidP="00253EFE">
      <w:pPr>
        <w:numPr>
          <w:ilvl w:val="0"/>
          <w:numId w:val="2"/>
        </w:numPr>
        <w:spacing w:after="80"/>
        <w:ind w:left="544" w:hanging="357"/>
        <w:jc w:val="both"/>
        <w:rPr>
          <w:rFonts w:ascii="Calibri" w:eastAsia="Calibri" w:hAnsi="Calibri" w:cs="Times New Roman"/>
          <w:color w:val="002060"/>
          <w:sz w:val="24"/>
          <w:szCs w:val="24"/>
        </w:rPr>
      </w:pPr>
      <w:r w:rsidRPr="00253EFE">
        <w:rPr>
          <w:rFonts w:ascii="Calibri" w:eastAsia="Calibri" w:hAnsi="Calibri" w:cs="Times New Roman"/>
          <w:color w:val="002060"/>
          <w:sz w:val="24"/>
          <w:szCs w:val="24"/>
        </w:rPr>
        <w:t>Patients’ organisations should monitor the Directive as far as is feasible within their resources, and provide information to EPF on good and bad practices</w:t>
      </w:r>
      <w:r w:rsidR="00727EC7" w:rsidRPr="00253EFE">
        <w:rPr>
          <w:rFonts w:ascii="Calibri" w:eastAsia="Calibri" w:hAnsi="Calibri" w:cs="Times New Roman"/>
          <w:color w:val="002060"/>
          <w:sz w:val="24"/>
          <w:szCs w:val="24"/>
        </w:rPr>
        <w:t xml:space="preserve">, for example through the EPF </w:t>
      </w:r>
      <w:r w:rsidR="00886036" w:rsidRPr="00253EFE">
        <w:rPr>
          <w:rFonts w:ascii="Calibri" w:eastAsia="Calibri" w:hAnsi="Calibri" w:cs="Times New Roman"/>
          <w:color w:val="002060"/>
          <w:sz w:val="24"/>
          <w:szCs w:val="24"/>
        </w:rPr>
        <w:t>“N</w:t>
      </w:r>
      <w:r w:rsidR="00727EC7" w:rsidRPr="00253EFE">
        <w:rPr>
          <w:rFonts w:ascii="Calibri" w:eastAsia="Calibri" w:hAnsi="Calibri" w:cs="Times New Roman"/>
          <w:color w:val="002060"/>
          <w:sz w:val="24"/>
          <w:szCs w:val="24"/>
        </w:rPr>
        <w:t>etwork of patient representatives on cross-border healthcare</w:t>
      </w:r>
      <w:r w:rsidR="00886036" w:rsidRPr="00253EFE">
        <w:rPr>
          <w:rFonts w:ascii="Calibri" w:eastAsia="Calibri" w:hAnsi="Calibri" w:cs="Times New Roman"/>
          <w:color w:val="002060"/>
          <w:sz w:val="24"/>
          <w:szCs w:val="24"/>
        </w:rPr>
        <w:t>”</w:t>
      </w:r>
      <w:r w:rsidRPr="00253EFE">
        <w:rPr>
          <w:rFonts w:ascii="Calibri" w:eastAsia="Calibri" w:hAnsi="Calibri" w:cs="Times New Roman"/>
          <w:color w:val="002060"/>
          <w:sz w:val="24"/>
          <w:szCs w:val="24"/>
        </w:rPr>
        <w:t>.</w:t>
      </w:r>
      <w:r w:rsidR="00886036" w:rsidRPr="00253EFE">
        <w:rPr>
          <w:rFonts w:ascii="Calibri" w:eastAsia="Calibri" w:hAnsi="Calibri" w:cs="Times New Roman"/>
          <w:color w:val="002060"/>
          <w:sz w:val="24"/>
          <w:szCs w:val="24"/>
        </w:rPr>
        <w:t xml:space="preserve"> (If interested, please </w:t>
      </w:r>
      <w:r w:rsidR="00886036" w:rsidRPr="00253EFE">
        <w:rPr>
          <w:rFonts w:ascii="Calibri" w:eastAsia="Calibri" w:hAnsi="Calibri" w:cs="Times New Roman"/>
          <w:color w:val="002060"/>
          <w:sz w:val="24"/>
          <w:szCs w:val="24"/>
          <w:u w:val="single"/>
        </w:rPr>
        <w:t>contact EPF</w:t>
      </w:r>
      <w:r w:rsidR="00886036" w:rsidRPr="00253EFE">
        <w:rPr>
          <w:rFonts w:ascii="Calibri" w:eastAsia="Calibri" w:hAnsi="Calibri" w:cs="Times New Roman"/>
          <w:color w:val="002060"/>
          <w:sz w:val="24"/>
          <w:szCs w:val="24"/>
        </w:rPr>
        <w:t xml:space="preserve"> for more information)</w:t>
      </w:r>
      <w:r w:rsidRPr="00253EFE">
        <w:rPr>
          <w:rFonts w:ascii="Calibri" w:eastAsia="Calibri" w:hAnsi="Calibri" w:cs="Times New Roman"/>
          <w:color w:val="002060"/>
          <w:sz w:val="24"/>
          <w:szCs w:val="24"/>
        </w:rPr>
        <w:t xml:space="preserve"> </w:t>
      </w:r>
    </w:p>
    <w:p w:rsidR="00467FBC" w:rsidRPr="00253EFE" w:rsidRDefault="00C822DF" w:rsidP="00253EFE">
      <w:pPr>
        <w:numPr>
          <w:ilvl w:val="0"/>
          <w:numId w:val="2"/>
        </w:numPr>
        <w:spacing w:after="80"/>
        <w:ind w:left="544" w:hanging="357"/>
        <w:jc w:val="both"/>
        <w:rPr>
          <w:rFonts w:ascii="Calibri" w:eastAsia="Calibri" w:hAnsi="Calibri" w:cs="Times New Roman"/>
          <w:color w:val="002060"/>
          <w:sz w:val="24"/>
          <w:szCs w:val="24"/>
        </w:rPr>
      </w:pPr>
      <w:r w:rsidRPr="00253EFE">
        <w:rPr>
          <w:rFonts w:ascii="Calibri" w:eastAsia="Calibri" w:hAnsi="Calibri" w:cs="Times New Roman"/>
          <w:color w:val="002060"/>
          <w:sz w:val="24"/>
          <w:szCs w:val="24"/>
        </w:rPr>
        <w:t xml:space="preserve">There should be a reflection process </w:t>
      </w:r>
      <w:r w:rsidR="00253EFE">
        <w:rPr>
          <w:rFonts w:ascii="Calibri" w:eastAsia="Calibri" w:hAnsi="Calibri" w:cs="Times New Roman"/>
          <w:color w:val="002060"/>
          <w:sz w:val="24"/>
          <w:szCs w:val="24"/>
        </w:rPr>
        <w:t xml:space="preserve">with the aim to </w:t>
      </w:r>
      <w:r w:rsidRPr="00253EFE">
        <w:rPr>
          <w:rFonts w:ascii="Calibri" w:eastAsia="Calibri" w:hAnsi="Calibri" w:cs="Times New Roman"/>
          <w:color w:val="002060"/>
          <w:sz w:val="24"/>
          <w:szCs w:val="24"/>
        </w:rPr>
        <w:t xml:space="preserve">ensure the </w:t>
      </w:r>
      <w:r w:rsidR="00253EFE">
        <w:rPr>
          <w:rFonts w:ascii="Calibri" w:eastAsia="Calibri" w:hAnsi="Calibri" w:cs="Times New Roman"/>
          <w:color w:val="002060"/>
          <w:sz w:val="24"/>
          <w:szCs w:val="24"/>
        </w:rPr>
        <w:t xml:space="preserve">long-term sustainability and functioning </w:t>
      </w:r>
      <w:r w:rsidRPr="00253EFE">
        <w:rPr>
          <w:rFonts w:ascii="Calibri" w:eastAsia="Calibri" w:hAnsi="Calibri" w:cs="Times New Roman"/>
          <w:color w:val="002060"/>
          <w:sz w:val="24"/>
          <w:szCs w:val="24"/>
        </w:rPr>
        <w:t xml:space="preserve">of patient organisations, including </w:t>
      </w:r>
      <w:r w:rsidR="00253EFE">
        <w:rPr>
          <w:rFonts w:ascii="Calibri" w:eastAsia="Calibri" w:hAnsi="Calibri" w:cs="Times New Roman"/>
          <w:color w:val="002060"/>
          <w:sz w:val="24"/>
          <w:szCs w:val="24"/>
        </w:rPr>
        <w:t xml:space="preserve">those at </w:t>
      </w:r>
      <w:r w:rsidRPr="00253EFE">
        <w:rPr>
          <w:rFonts w:ascii="Calibri" w:eastAsia="Calibri" w:hAnsi="Calibri" w:cs="Times New Roman"/>
          <w:color w:val="002060"/>
          <w:sz w:val="24"/>
          <w:szCs w:val="24"/>
        </w:rPr>
        <w:t xml:space="preserve">European-level and national/local </w:t>
      </w:r>
      <w:r w:rsidR="00253EFE">
        <w:rPr>
          <w:rFonts w:ascii="Calibri" w:eastAsia="Calibri" w:hAnsi="Calibri" w:cs="Times New Roman"/>
          <w:color w:val="002060"/>
          <w:sz w:val="24"/>
          <w:szCs w:val="24"/>
        </w:rPr>
        <w:t>level</w:t>
      </w:r>
      <w:r w:rsidRPr="00253EFE">
        <w:rPr>
          <w:rFonts w:ascii="Calibri" w:eastAsia="Calibri" w:hAnsi="Calibri" w:cs="Times New Roman"/>
          <w:color w:val="002060"/>
          <w:sz w:val="24"/>
          <w:szCs w:val="24"/>
        </w:rPr>
        <w:t xml:space="preserve">. </w:t>
      </w:r>
      <w:r w:rsidR="00253EFE">
        <w:rPr>
          <w:rFonts w:ascii="Calibri" w:eastAsia="Calibri" w:hAnsi="Calibri" w:cs="Times New Roman"/>
          <w:color w:val="002060"/>
          <w:sz w:val="24"/>
          <w:szCs w:val="24"/>
        </w:rPr>
        <w:t xml:space="preserve">This should include making </w:t>
      </w:r>
      <w:r w:rsidRPr="00253EFE">
        <w:rPr>
          <w:rFonts w:ascii="Calibri" w:eastAsia="Calibri" w:hAnsi="Calibri" w:cs="Times New Roman"/>
          <w:color w:val="002060"/>
          <w:sz w:val="24"/>
          <w:szCs w:val="24"/>
        </w:rPr>
        <w:t>EU funding more accessible to patient organisations</w:t>
      </w:r>
      <w:r w:rsidR="00253EFE">
        <w:rPr>
          <w:rFonts w:ascii="Calibri" w:eastAsia="Calibri" w:hAnsi="Calibri" w:cs="Times New Roman"/>
          <w:color w:val="002060"/>
          <w:sz w:val="24"/>
          <w:szCs w:val="24"/>
        </w:rPr>
        <w:t xml:space="preserve"> and b</w:t>
      </w:r>
      <w:r w:rsidR="00467FBC" w:rsidRPr="00253EFE">
        <w:rPr>
          <w:rFonts w:ascii="Calibri" w:eastAsia="Calibri" w:hAnsi="Calibri" w:cs="Times New Roman"/>
          <w:color w:val="002060"/>
          <w:sz w:val="24"/>
          <w:szCs w:val="24"/>
        </w:rPr>
        <w:t xml:space="preserve">asic financial support to maintain </w:t>
      </w:r>
      <w:r w:rsidR="00886036" w:rsidRPr="00253EFE">
        <w:rPr>
          <w:rFonts w:ascii="Calibri" w:eastAsia="Calibri" w:hAnsi="Calibri" w:cs="Times New Roman"/>
          <w:color w:val="002060"/>
          <w:sz w:val="24"/>
          <w:szCs w:val="24"/>
        </w:rPr>
        <w:t>a s</w:t>
      </w:r>
      <w:r w:rsidR="00467FBC" w:rsidRPr="00253EFE">
        <w:rPr>
          <w:rFonts w:ascii="Calibri" w:eastAsia="Calibri" w:hAnsi="Calibri" w:cs="Times New Roman"/>
          <w:color w:val="002060"/>
          <w:sz w:val="24"/>
          <w:szCs w:val="24"/>
        </w:rPr>
        <w:t xml:space="preserve">ecretariat </w:t>
      </w:r>
      <w:r w:rsidR="00253EFE">
        <w:rPr>
          <w:rFonts w:ascii="Calibri" w:eastAsia="Calibri" w:hAnsi="Calibri" w:cs="Times New Roman"/>
          <w:color w:val="002060"/>
          <w:sz w:val="24"/>
          <w:szCs w:val="24"/>
        </w:rPr>
        <w:t xml:space="preserve">and core functions </w:t>
      </w:r>
      <w:r w:rsidR="00467FBC" w:rsidRPr="00253EFE">
        <w:rPr>
          <w:rFonts w:ascii="Calibri" w:eastAsia="Calibri" w:hAnsi="Calibri" w:cs="Times New Roman"/>
          <w:color w:val="002060"/>
          <w:sz w:val="24"/>
          <w:szCs w:val="24"/>
        </w:rPr>
        <w:t xml:space="preserve">from national/regional </w:t>
      </w:r>
      <w:r w:rsidR="00253EFE">
        <w:rPr>
          <w:rFonts w:ascii="Calibri" w:eastAsia="Calibri" w:hAnsi="Calibri" w:cs="Times New Roman"/>
          <w:color w:val="002060"/>
          <w:sz w:val="24"/>
          <w:szCs w:val="24"/>
        </w:rPr>
        <w:t>governments</w:t>
      </w:r>
      <w:r w:rsidR="00467FBC" w:rsidRPr="00253EFE">
        <w:rPr>
          <w:rFonts w:ascii="Calibri" w:eastAsia="Calibri" w:hAnsi="Calibri" w:cs="Times New Roman"/>
          <w:color w:val="002060"/>
          <w:sz w:val="24"/>
          <w:szCs w:val="24"/>
        </w:rPr>
        <w:t xml:space="preserve">. </w:t>
      </w:r>
    </w:p>
    <w:p w:rsidR="00886036" w:rsidRPr="00253EFE" w:rsidRDefault="00886036" w:rsidP="00120B19">
      <w:pPr>
        <w:numPr>
          <w:ilvl w:val="0"/>
          <w:numId w:val="2"/>
        </w:numPr>
        <w:spacing w:after="120"/>
        <w:ind w:left="547"/>
        <w:jc w:val="both"/>
        <w:rPr>
          <w:rFonts w:ascii="Calibri" w:eastAsia="Calibri" w:hAnsi="Calibri" w:cs="Times New Roman"/>
          <w:color w:val="002060"/>
          <w:sz w:val="24"/>
          <w:szCs w:val="24"/>
        </w:rPr>
      </w:pPr>
      <w:r w:rsidRPr="00253EFE">
        <w:rPr>
          <w:rFonts w:ascii="Calibri" w:eastAsia="Calibri" w:hAnsi="Calibri" w:cs="Times New Roman"/>
          <w:color w:val="002060"/>
          <w:sz w:val="24"/>
          <w:szCs w:val="24"/>
        </w:rPr>
        <w:t>Especially in rare diseases</w:t>
      </w:r>
      <w:r w:rsidR="00E0009A" w:rsidRPr="00253EFE">
        <w:rPr>
          <w:rFonts w:ascii="Calibri" w:eastAsia="Calibri" w:hAnsi="Calibri" w:cs="Times New Roman"/>
          <w:color w:val="002060"/>
          <w:sz w:val="24"/>
          <w:szCs w:val="24"/>
        </w:rPr>
        <w:t xml:space="preserve"> and disabilities</w:t>
      </w:r>
      <w:r w:rsidRPr="00253EFE">
        <w:rPr>
          <w:rFonts w:ascii="Calibri" w:eastAsia="Calibri" w:hAnsi="Calibri" w:cs="Times New Roman"/>
          <w:color w:val="002060"/>
          <w:sz w:val="24"/>
          <w:szCs w:val="24"/>
        </w:rPr>
        <w:t>, the existence of helplines across Europe to inform patients about rare diseases</w:t>
      </w:r>
      <w:r w:rsidRPr="00253EFE">
        <w:rPr>
          <w:rFonts w:ascii="Calibri" w:eastAsia="Calibri" w:hAnsi="Calibri" w:cs="Times New Roman"/>
          <w:color w:val="002060"/>
          <w:vertAlign w:val="superscript"/>
        </w:rPr>
        <w:footnoteReference w:id="30"/>
      </w:r>
      <w:r w:rsidRPr="00253EFE">
        <w:rPr>
          <w:rFonts w:ascii="Calibri" w:eastAsia="Calibri" w:hAnsi="Calibri" w:cs="Times New Roman"/>
          <w:color w:val="002060"/>
          <w:sz w:val="24"/>
          <w:szCs w:val="24"/>
          <w:vertAlign w:val="superscript"/>
        </w:rPr>
        <w:t xml:space="preserve"> </w:t>
      </w:r>
      <w:r w:rsidRPr="00253EFE">
        <w:rPr>
          <w:rFonts w:ascii="Calibri" w:eastAsia="Calibri" w:hAnsi="Calibri" w:cs="Times New Roman"/>
          <w:color w:val="002060"/>
          <w:sz w:val="24"/>
          <w:szCs w:val="24"/>
        </w:rPr>
        <w:t>could be used to provide more information on patients’ rights regarding cross-border care, both under the Directive and under the Regulation.</w:t>
      </w:r>
    </w:p>
    <w:p w:rsidR="00886036" w:rsidRDefault="00886036" w:rsidP="00886036">
      <w:pPr>
        <w:pStyle w:val="Heading1"/>
        <w:spacing w:before="0" w:after="240" w:line="240" w:lineRule="auto"/>
        <w:rPr>
          <w:b/>
          <w:szCs w:val="24"/>
        </w:rPr>
      </w:pPr>
    </w:p>
    <w:p w:rsidR="00B958EF" w:rsidRPr="00467FBC" w:rsidRDefault="003054B4" w:rsidP="00B33C63">
      <w:pPr>
        <w:pStyle w:val="Heading1"/>
        <w:numPr>
          <w:ilvl w:val="0"/>
          <w:numId w:val="28"/>
        </w:numPr>
        <w:spacing w:before="0" w:after="240" w:line="240" w:lineRule="auto"/>
        <w:ind w:left="709" w:hanging="567"/>
        <w:rPr>
          <w:b/>
          <w:szCs w:val="24"/>
        </w:rPr>
      </w:pPr>
      <w:bookmarkStart w:id="22" w:name="_Toc442730518"/>
      <w:r w:rsidRPr="00467FBC">
        <w:rPr>
          <w:b/>
          <w:szCs w:val="24"/>
        </w:rPr>
        <w:t xml:space="preserve">Conclusions </w:t>
      </w:r>
      <w:r w:rsidR="00933965" w:rsidRPr="00467FBC">
        <w:rPr>
          <w:b/>
          <w:szCs w:val="24"/>
        </w:rPr>
        <w:t>and next steps</w:t>
      </w:r>
      <w:bookmarkEnd w:id="22"/>
      <w:r w:rsidR="00933965" w:rsidRPr="00467FBC">
        <w:rPr>
          <w:b/>
          <w:szCs w:val="24"/>
        </w:rPr>
        <w:t xml:space="preserve"> </w:t>
      </w:r>
    </w:p>
    <w:p w:rsidR="006D1B81" w:rsidRDefault="00253EFE" w:rsidP="00253EFE">
      <w:pPr>
        <w:spacing w:after="120"/>
        <w:jc w:val="both"/>
        <w:rPr>
          <w:sz w:val="24"/>
          <w:szCs w:val="24"/>
        </w:rPr>
      </w:pPr>
      <w:r>
        <w:rPr>
          <w:sz w:val="24"/>
          <w:szCs w:val="24"/>
        </w:rPr>
        <w:t>T</w:t>
      </w:r>
      <w:r w:rsidR="006D1B81">
        <w:rPr>
          <w:sz w:val="24"/>
          <w:szCs w:val="24"/>
        </w:rPr>
        <w:t>he</w:t>
      </w:r>
      <w:r>
        <w:rPr>
          <w:sz w:val="24"/>
          <w:szCs w:val="24"/>
        </w:rPr>
        <w:t xml:space="preserve"> </w:t>
      </w:r>
      <w:r w:rsidR="006D1B81">
        <w:rPr>
          <w:sz w:val="24"/>
          <w:szCs w:val="24"/>
        </w:rPr>
        <w:t>European</w:t>
      </w:r>
      <w:r w:rsidR="00CA2BDE">
        <w:rPr>
          <w:sz w:val="24"/>
          <w:szCs w:val="24"/>
        </w:rPr>
        <w:t xml:space="preserve"> </w:t>
      </w:r>
      <w:r w:rsidR="00FD3C5D">
        <w:rPr>
          <w:sz w:val="24"/>
          <w:szCs w:val="24"/>
        </w:rPr>
        <w:t>Commission</w:t>
      </w:r>
      <w:r w:rsidR="00CA2BDE">
        <w:rPr>
          <w:sz w:val="24"/>
          <w:szCs w:val="24"/>
        </w:rPr>
        <w:t xml:space="preserve"> </w:t>
      </w:r>
      <w:r w:rsidR="006D1B81">
        <w:rPr>
          <w:sz w:val="24"/>
          <w:szCs w:val="24"/>
        </w:rPr>
        <w:t xml:space="preserve">is required to report on the operation of the directive every three years, with the next report due in the autumn of 2018. </w:t>
      </w:r>
    </w:p>
    <w:p w:rsidR="00886036" w:rsidRDefault="00886036" w:rsidP="00253EFE">
      <w:pPr>
        <w:spacing w:after="120"/>
        <w:jc w:val="both"/>
        <w:rPr>
          <w:sz w:val="24"/>
          <w:szCs w:val="24"/>
        </w:rPr>
      </w:pPr>
      <w:r>
        <w:rPr>
          <w:sz w:val="24"/>
          <w:szCs w:val="24"/>
        </w:rPr>
        <w:t xml:space="preserve">EPF is in close contact with the European commission and we are regularly providing our members’ feedback also to the EU “Network of national contact points”. </w:t>
      </w:r>
    </w:p>
    <w:p w:rsidR="003054B4" w:rsidRDefault="00886036" w:rsidP="00253EFE">
      <w:pPr>
        <w:spacing w:after="120"/>
        <w:jc w:val="both"/>
        <w:rPr>
          <w:sz w:val="24"/>
          <w:szCs w:val="24"/>
        </w:rPr>
      </w:pPr>
      <w:r>
        <w:rPr>
          <w:sz w:val="24"/>
          <w:szCs w:val="24"/>
        </w:rPr>
        <w:t>We have established an informal network of patient leaders across the EU member states, who wish to collaborate with us and with each other on cross-border healthcare.</w:t>
      </w:r>
      <w:r w:rsidR="00933965" w:rsidRPr="009E1E53">
        <w:rPr>
          <w:sz w:val="24"/>
          <w:szCs w:val="24"/>
        </w:rPr>
        <w:t xml:space="preserve"> </w:t>
      </w:r>
      <w:r>
        <w:rPr>
          <w:sz w:val="24"/>
          <w:szCs w:val="24"/>
        </w:rPr>
        <w:t xml:space="preserve">In 2016 we </w:t>
      </w:r>
      <w:r>
        <w:rPr>
          <w:sz w:val="24"/>
          <w:szCs w:val="24"/>
        </w:rPr>
        <w:lastRenderedPageBreak/>
        <w:t>will invite this network to provide feedback on some concrete implementation issues identified in this paper.</w:t>
      </w:r>
    </w:p>
    <w:p w:rsidR="00467FBC" w:rsidRDefault="00886036" w:rsidP="00886036">
      <w:pPr>
        <w:jc w:val="both"/>
        <w:rPr>
          <w:sz w:val="24"/>
          <w:szCs w:val="24"/>
        </w:rPr>
      </w:pPr>
      <w:r>
        <w:rPr>
          <w:sz w:val="24"/>
          <w:szCs w:val="24"/>
        </w:rPr>
        <w:t>In 2017 we will organise a follow-up conference to review progress, bringing together patient representatives, National contact points and other stakeholders.</w:t>
      </w:r>
    </w:p>
    <w:p w:rsidR="00C822DF" w:rsidRDefault="00C822DF" w:rsidP="00886036">
      <w:pPr>
        <w:jc w:val="both"/>
        <w:rPr>
          <w:sz w:val="24"/>
          <w:szCs w:val="24"/>
        </w:rPr>
      </w:pPr>
    </w:p>
    <w:p w:rsidR="00C822DF" w:rsidRDefault="00C822DF" w:rsidP="00886036">
      <w:pPr>
        <w:jc w:val="both"/>
        <w:rPr>
          <w:sz w:val="24"/>
          <w:szCs w:val="24"/>
        </w:rPr>
      </w:pPr>
      <w:r>
        <w:rPr>
          <w:sz w:val="24"/>
          <w:szCs w:val="24"/>
        </w:rPr>
        <w:t xml:space="preserve">For more information contact: </w:t>
      </w:r>
      <w:hyperlink r:id="rId8" w:history="1">
        <w:r w:rsidRPr="00B90DC5">
          <w:rPr>
            <w:rStyle w:val="Hyperlink"/>
            <w:rFonts w:asciiTheme="minorHAnsi" w:hAnsiTheme="minorHAnsi"/>
            <w:sz w:val="24"/>
            <w:szCs w:val="24"/>
          </w:rPr>
          <w:t>policy@eu-patient.eu</w:t>
        </w:r>
      </w:hyperlink>
      <w:r>
        <w:rPr>
          <w:sz w:val="24"/>
          <w:szCs w:val="24"/>
        </w:rPr>
        <w:t xml:space="preserve"> </w:t>
      </w:r>
    </w:p>
    <w:p w:rsidR="00886036" w:rsidRPr="009E1E53" w:rsidRDefault="00886036" w:rsidP="00886036">
      <w:pPr>
        <w:rPr>
          <w:sz w:val="24"/>
          <w:szCs w:val="24"/>
        </w:rPr>
      </w:pPr>
    </w:p>
    <w:p w:rsidR="00886036" w:rsidRDefault="00886036">
      <w:pPr>
        <w:spacing w:after="200" w:line="276" w:lineRule="auto"/>
        <w:rPr>
          <w:rFonts w:asciiTheme="majorHAnsi" w:eastAsiaTheme="majorEastAsia" w:hAnsiTheme="majorHAnsi" w:cstheme="majorBidi"/>
          <w:b/>
          <w:color w:val="365F91" w:themeColor="accent1" w:themeShade="BF"/>
          <w:sz w:val="32"/>
          <w:szCs w:val="24"/>
        </w:rPr>
      </w:pPr>
      <w:r>
        <w:rPr>
          <w:b/>
          <w:szCs w:val="24"/>
        </w:rPr>
        <w:br w:type="page"/>
      </w:r>
      <w:bookmarkStart w:id="23" w:name="_GoBack"/>
      <w:bookmarkEnd w:id="23"/>
    </w:p>
    <w:p w:rsidR="00B958EF" w:rsidRPr="00FA3F7D" w:rsidRDefault="00FA3F7D" w:rsidP="00B33C63">
      <w:pPr>
        <w:pStyle w:val="Heading1"/>
        <w:numPr>
          <w:ilvl w:val="0"/>
          <w:numId w:val="28"/>
        </w:numPr>
        <w:spacing w:before="0" w:after="240" w:line="240" w:lineRule="auto"/>
        <w:ind w:left="709" w:hanging="567"/>
        <w:rPr>
          <w:b/>
          <w:szCs w:val="24"/>
        </w:rPr>
      </w:pPr>
      <w:bookmarkStart w:id="24" w:name="_Toc442730519"/>
      <w:r>
        <w:rPr>
          <w:b/>
          <w:szCs w:val="24"/>
        </w:rPr>
        <w:lastRenderedPageBreak/>
        <w:t>References and links to m</w:t>
      </w:r>
      <w:r w:rsidR="00B958EF" w:rsidRPr="00FA3F7D">
        <w:rPr>
          <w:b/>
          <w:szCs w:val="24"/>
        </w:rPr>
        <w:t>ore information</w:t>
      </w:r>
      <w:bookmarkEnd w:id="24"/>
      <w:r w:rsidR="00B958EF" w:rsidRPr="00FA3F7D">
        <w:rPr>
          <w:b/>
          <w:szCs w:val="24"/>
        </w:rPr>
        <w:t xml:space="preserve"> </w:t>
      </w:r>
    </w:p>
    <w:p w:rsidR="003476E1" w:rsidRDefault="003476E1" w:rsidP="003476E1">
      <w:pPr>
        <w:spacing w:after="120"/>
        <w:rPr>
          <w:sz w:val="24"/>
          <w:szCs w:val="24"/>
        </w:rPr>
      </w:pPr>
      <w:r>
        <w:rPr>
          <w:sz w:val="24"/>
          <w:szCs w:val="24"/>
        </w:rPr>
        <w:t xml:space="preserve">European </w:t>
      </w:r>
      <w:r w:rsidR="00FD3C5D">
        <w:rPr>
          <w:sz w:val="24"/>
          <w:szCs w:val="24"/>
        </w:rPr>
        <w:t>Commission</w:t>
      </w:r>
      <w:r w:rsidRPr="003476E1">
        <w:rPr>
          <w:sz w:val="24"/>
          <w:szCs w:val="24"/>
        </w:rPr>
        <w:t xml:space="preserve"> report on the operation of Directive 2011/24/EU on the application of patients’ rights in cross-border healthcare</w:t>
      </w:r>
      <w:r>
        <w:rPr>
          <w:sz w:val="24"/>
          <w:szCs w:val="24"/>
        </w:rPr>
        <w:t xml:space="preserve"> (4 September 2015) available </w:t>
      </w:r>
      <w:r w:rsidRPr="00886036">
        <w:rPr>
          <w:b/>
          <w:sz w:val="24"/>
          <w:szCs w:val="24"/>
        </w:rPr>
        <w:t>in 22 EU languages</w:t>
      </w:r>
      <w:r w:rsidRPr="003476E1">
        <w:rPr>
          <w:color w:val="FF0000"/>
          <w:sz w:val="24"/>
          <w:szCs w:val="24"/>
        </w:rPr>
        <w:t xml:space="preserve"> </w:t>
      </w:r>
      <w:r>
        <w:rPr>
          <w:sz w:val="24"/>
          <w:szCs w:val="24"/>
        </w:rPr>
        <w:t xml:space="preserve">at </w:t>
      </w:r>
      <w:hyperlink r:id="rId9" w:history="1">
        <w:r w:rsidRPr="00F74214">
          <w:rPr>
            <w:rStyle w:val="Hyperlink"/>
            <w:rFonts w:asciiTheme="minorHAnsi" w:hAnsiTheme="minorHAnsi"/>
            <w:sz w:val="24"/>
            <w:szCs w:val="24"/>
          </w:rPr>
          <w:t>http://ec.europa.eu/health/cross_border_care/key_documents/index_en.htm</w:t>
        </w:r>
      </w:hyperlink>
      <w:r>
        <w:rPr>
          <w:sz w:val="24"/>
          <w:szCs w:val="24"/>
        </w:rPr>
        <w:t xml:space="preserve"> </w:t>
      </w:r>
    </w:p>
    <w:p w:rsidR="003476E1" w:rsidRDefault="003476E1" w:rsidP="003476E1">
      <w:pPr>
        <w:spacing w:after="120"/>
        <w:rPr>
          <w:sz w:val="24"/>
          <w:szCs w:val="24"/>
        </w:rPr>
      </w:pPr>
      <w:r>
        <w:rPr>
          <w:sz w:val="24"/>
          <w:szCs w:val="24"/>
        </w:rPr>
        <w:t xml:space="preserve">European </w:t>
      </w:r>
      <w:r w:rsidR="00FD3C5D">
        <w:rPr>
          <w:sz w:val="24"/>
          <w:szCs w:val="24"/>
        </w:rPr>
        <w:t>Commission</w:t>
      </w:r>
      <w:r>
        <w:rPr>
          <w:sz w:val="24"/>
          <w:szCs w:val="24"/>
        </w:rPr>
        <w:t xml:space="preserve"> website with links to </w:t>
      </w:r>
      <w:r w:rsidR="00FD3C5D">
        <w:rPr>
          <w:sz w:val="24"/>
          <w:szCs w:val="24"/>
        </w:rPr>
        <w:t>National Contact Point</w:t>
      </w:r>
      <w:r>
        <w:rPr>
          <w:sz w:val="24"/>
          <w:szCs w:val="24"/>
        </w:rPr>
        <w:t xml:space="preserve">s: </w:t>
      </w:r>
      <w:hyperlink r:id="rId10" w:history="1">
        <w:r w:rsidRPr="00F74214">
          <w:rPr>
            <w:rStyle w:val="Hyperlink"/>
            <w:rFonts w:asciiTheme="minorHAnsi" w:hAnsiTheme="minorHAnsi"/>
            <w:sz w:val="24"/>
            <w:szCs w:val="24"/>
          </w:rPr>
          <w:t>http://europa.eu/youreurope/citizens/health/planned-healthcare/get-more-info/index_en.htm</w:t>
        </w:r>
      </w:hyperlink>
      <w:r>
        <w:rPr>
          <w:sz w:val="24"/>
          <w:szCs w:val="24"/>
        </w:rPr>
        <w:t xml:space="preserve"> </w:t>
      </w:r>
    </w:p>
    <w:p w:rsidR="003476E1" w:rsidRDefault="003476E1" w:rsidP="003476E1">
      <w:pPr>
        <w:spacing w:after="120"/>
        <w:rPr>
          <w:sz w:val="24"/>
          <w:szCs w:val="24"/>
        </w:rPr>
      </w:pPr>
      <w:r>
        <w:rPr>
          <w:sz w:val="24"/>
          <w:szCs w:val="24"/>
        </w:rPr>
        <w:t xml:space="preserve">European Patients’ Forum conference report, </w:t>
      </w:r>
      <w:r w:rsidRPr="003476E1">
        <w:rPr>
          <w:sz w:val="24"/>
          <w:szCs w:val="24"/>
        </w:rPr>
        <w:t xml:space="preserve">“Cross-Border Healthcare: </w:t>
      </w:r>
      <w:r>
        <w:rPr>
          <w:sz w:val="24"/>
          <w:szCs w:val="24"/>
        </w:rPr>
        <w:t>i</w:t>
      </w:r>
      <w:r w:rsidRPr="003476E1">
        <w:rPr>
          <w:sz w:val="24"/>
          <w:szCs w:val="24"/>
        </w:rPr>
        <w:t xml:space="preserve">s </w:t>
      </w:r>
      <w:r>
        <w:rPr>
          <w:sz w:val="24"/>
          <w:szCs w:val="24"/>
        </w:rPr>
        <w:t>i</w:t>
      </w:r>
      <w:r w:rsidRPr="003476E1">
        <w:rPr>
          <w:sz w:val="24"/>
          <w:szCs w:val="24"/>
        </w:rPr>
        <w:t xml:space="preserve">t Working </w:t>
      </w:r>
      <w:r>
        <w:rPr>
          <w:sz w:val="24"/>
          <w:szCs w:val="24"/>
        </w:rPr>
        <w:t>f</w:t>
      </w:r>
      <w:r w:rsidRPr="003476E1">
        <w:rPr>
          <w:sz w:val="24"/>
          <w:szCs w:val="24"/>
        </w:rPr>
        <w:t xml:space="preserve">or Patients Across </w:t>
      </w:r>
      <w:r>
        <w:rPr>
          <w:sz w:val="24"/>
          <w:szCs w:val="24"/>
        </w:rPr>
        <w:t>t</w:t>
      </w:r>
      <w:r w:rsidRPr="003476E1">
        <w:rPr>
          <w:sz w:val="24"/>
          <w:szCs w:val="24"/>
        </w:rPr>
        <w:t xml:space="preserve">he </w:t>
      </w:r>
      <w:r>
        <w:rPr>
          <w:sz w:val="24"/>
          <w:szCs w:val="24"/>
        </w:rPr>
        <w:t>EU</w:t>
      </w:r>
      <w:r w:rsidRPr="003476E1">
        <w:rPr>
          <w:sz w:val="24"/>
          <w:szCs w:val="24"/>
        </w:rPr>
        <w:t>?”</w:t>
      </w:r>
      <w:r>
        <w:rPr>
          <w:sz w:val="24"/>
          <w:szCs w:val="24"/>
        </w:rPr>
        <w:t xml:space="preserve"> (13 July 2015) </w:t>
      </w:r>
    </w:p>
    <w:p w:rsidR="003476E1" w:rsidRDefault="003476E1" w:rsidP="003476E1">
      <w:pPr>
        <w:spacing w:after="120"/>
        <w:rPr>
          <w:sz w:val="24"/>
          <w:szCs w:val="24"/>
        </w:rPr>
      </w:pPr>
      <w:r>
        <w:rPr>
          <w:sz w:val="24"/>
          <w:szCs w:val="24"/>
        </w:rPr>
        <w:t>European Patients’ Forum report “</w:t>
      </w:r>
      <w:r w:rsidRPr="003476E1">
        <w:rPr>
          <w:sz w:val="24"/>
          <w:szCs w:val="24"/>
        </w:rPr>
        <w:t>Main Conclusions and Recommendations arising from the EPF series of Regional Conferences 2013-14</w:t>
      </w:r>
      <w:r>
        <w:rPr>
          <w:sz w:val="24"/>
          <w:szCs w:val="24"/>
        </w:rPr>
        <w:t xml:space="preserve">” (18 March 2015) available in English at </w:t>
      </w:r>
      <w:hyperlink r:id="rId11" w:history="1">
        <w:r w:rsidRPr="00F74214">
          <w:rPr>
            <w:rStyle w:val="Hyperlink"/>
            <w:rFonts w:asciiTheme="minorHAnsi" w:hAnsiTheme="minorHAnsi"/>
            <w:sz w:val="24"/>
            <w:szCs w:val="24"/>
          </w:rPr>
          <w:t>www.eu-patient.eu/globalassets/policy/cross-borderhealthcare/cbhc-summary-report-final_external.pdf</w:t>
        </w:r>
      </w:hyperlink>
      <w:r>
        <w:rPr>
          <w:sz w:val="24"/>
          <w:szCs w:val="24"/>
        </w:rPr>
        <w:t xml:space="preserve"> </w:t>
      </w:r>
    </w:p>
    <w:p w:rsidR="00B958EF" w:rsidRDefault="003476E1" w:rsidP="003476E1">
      <w:pPr>
        <w:spacing w:after="120"/>
        <w:rPr>
          <w:sz w:val="24"/>
          <w:szCs w:val="24"/>
        </w:rPr>
      </w:pPr>
      <w:r w:rsidRPr="003476E1">
        <w:rPr>
          <w:sz w:val="24"/>
          <w:szCs w:val="24"/>
        </w:rPr>
        <w:t>Evaluative study on the cr</w:t>
      </w:r>
      <w:r>
        <w:rPr>
          <w:sz w:val="24"/>
          <w:szCs w:val="24"/>
        </w:rPr>
        <w:t xml:space="preserve">oss-border healthcare Directive, final report (21 March 2015) available in English at </w:t>
      </w:r>
      <w:hyperlink r:id="rId12" w:history="1">
        <w:r w:rsidRPr="00F74214">
          <w:rPr>
            <w:rStyle w:val="Hyperlink"/>
            <w:rFonts w:asciiTheme="minorHAnsi" w:hAnsiTheme="minorHAnsi"/>
            <w:sz w:val="24"/>
            <w:szCs w:val="24"/>
          </w:rPr>
          <w:t>http://ec.europa.eu/health/cross_border_care/docs/2015_evaluative_study_frep_en.pdf</w:t>
        </w:r>
      </w:hyperlink>
      <w:r>
        <w:rPr>
          <w:sz w:val="24"/>
          <w:szCs w:val="24"/>
        </w:rPr>
        <w:t xml:space="preserve"> </w:t>
      </w:r>
    </w:p>
    <w:p w:rsidR="003476E1" w:rsidRDefault="00A857E0" w:rsidP="00A857E0">
      <w:pPr>
        <w:spacing w:after="120"/>
        <w:rPr>
          <w:sz w:val="24"/>
          <w:szCs w:val="24"/>
        </w:rPr>
      </w:pPr>
      <w:r>
        <w:rPr>
          <w:sz w:val="24"/>
          <w:szCs w:val="24"/>
        </w:rPr>
        <w:t>Special Eurobarometer no. 425 “</w:t>
      </w:r>
      <w:r w:rsidRPr="00A857E0">
        <w:rPr>
          <w:sz w:val="24"/>
          <w:szCs w:val="24"/>
        </w:rPr>
        <w:t xml:space="preserve">Patients’ Rights </w:t>
      </w:r>
      <w:r>
        <w:rPr>
          <w:sz w:val="24"/>
          <w:szCs w:val="24"/>
        </w:rPr>
        <w:t>i</w:t>
      </w:r>
      <w:r w:rsidRPr="00A857E0">
        <w:rPr>
          <w:sz w:val="24"/>
          <w:szCs w:val="24"/>
        </w:rPr>
        <w:t>n Cross-Border</w:t>
      </w:r>
      <w:r>
        <w:rPr>
          <w:sz w:val="24"/>
          <w:szCs w:val="24"/>
        </w:rPr>
        <w:t xml:space="preserve"> </w:t>
      </w:r>
      <w:r w:rsidRPr="00A857E0">
        <w:rPr>
          <w:sz w:val="24"/>
          <w:szCs w:val="24"/>
        </w:rPr>
        <w:t xml:space="preserve">Healthcare </w:t>
      </w:r>
      <w:r>
        <w:rPr>
          <w:sz w:val="24"/>
          <w:szCs w:val="24"/>
        </w:rPr>
        <w:t>i</w:t>
      </w:r>
      <w:r w:rsidRPr="00A857E0">
        <w:rPr>
          <w:sz w:val="24"/>
          <w:szCs w:val="24"/>
        </w:rPr>
        <w:t xml:space="preserve">n </w:t>
      </w:r>
      <w:r>
        <w:rPr>
          <w:sz w:val="24"/>
          <w:szCs w:val="24"/>
        </w:rPr>
        <w:t>t</w:t>
      </w:r>
      <w:r w:rsidRPr="00A857E0">
        <w:rPr>
          <w:sz w:val="24"/>
          <w:szCs w:val="24"/>
        </w:rPr>
        <w:t>he European Union</w:t>
      </w:r>
      <w:r>
        <w:rPr>
          <w:sz w:val="24"/>
          <w:szCs w:val="24"/>
        </w:rPr>
        <w:t xml:space="preserve">”, report available in English at </w:t>
      </w:r>
      <w:hyperlink r:id="rId13" w:history="1">
        <w:r w:rsidRPr="00F74214">
          <w:rPr>
            <w:rStyle w:val="Hyperlink"/>
            <w:rFonts w:asciiTheme="minorHAnsi" w:hAnsiTheme="minorHAnsi"/>
            <w:sz w:val="24"/>
            <w:szCs w:val="24"/>
          </w:rPr>
          <w:t>http://ec.europa.eu/public_opinion/archives/ebs/ebs_425_en.pdf</w:t>
        </w:r>
      </w:hyperlink>
    </w:p>
    <w:p w:rsidR="00A857E0" w:rsidRDefault="00A857E0" w:rsidP="00A857E0">
      <w:pPr>
        <w:spacing w:after="120"/>
        <w:rPr>
          <w:sz w:val="24"/>
          <w:szCs w:val="24"/>
        </w:rPr>
      </w:pPr>
      <w:r>
        <w:rPr>
          <w:sz w:val="24"/>
          <w:szCs w:val="24"/>
        </w:rPr>
        <w:t xml:space="preserve">Special Eurobarometer no. 425, country fact sheets for all EU </w:t>
      </w:r>
      <w:r w:rsidR="00FD3C5D">
        <w:rPr>
          <w:sz w:val="24"/>
          <w:szCs w:val="24"/>
        </w:rPr>
        <w:t>Member State</w:t>
      </w:r>
      <w:r>
        <w:rPr>
          <w:sz w:val="24"/>
          <w:szCs w:val="24"/>
        </w:rPr>
        <w:t xml:space="preserve">s available in English and the national languages at </w:t>
      </w:r>
      <w:hyperlink r:id="rId14" w:anchor="425" w:history="1">
        <w:r w:rsidRPr="00F74214">
          <w:rPr>
            <w:rStyle w:val="Hyperlink"/>
            <w:rFonts w:asciiTheme="minorHAnsi" w:hAnsiTheme="minorHAnsi"/>
            <w:sz w:val="24"/>
            <w:szCs w:val="24"/>
          </w:rPr>
          <w:t>http://ec.europa.eu/public_opinion/archives/eb_special_439_420_en.htm#425</w:t>
        </w:r>
      </w:hyperlink>
      <w:r>
        <w:rPr>
          <w:sz w:val="24"/>
          <w:szCs w:val="24"/>
        </w:rPr>
        <w:t xml:space="preserve"> </w:t>
      </w:r>
    </w:p>
    <w:p w:rsidR="00A857E0" w:rsidRPr="009E1E53" w:rsidRDefault="00A857E0" w:rsidP="00A857E0">
      <w:pPr>
        <w:spacing w:after="120"/>
        <w:rPr>
          <w:sz w:val="24"/>
          <w:szCs w:val="24"/>
        </w:rPr>
      </w:pPr>
    </w:p>
    <w:sectPr w:rsidR="00A857E0" w:rsidRPr="009E1E53" w:rsidSect="003D4F3B">
      <w:footerReference w:type="default" r:id="rId15"/>
      <w:headerReference w:type="first" r:id="rId16"/>
      <w:footerReference w:type="first" r:id="rId17"/>
      <w:pgSz w:w="11906" w:h="16838"/>
      <w:pgMar w:top="2247" w:right="1440" w:bottom="170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4F9" w:rsidRDefault="00B804F9" w:rsidP="006825BF">
      <w:pPr>
        <w:spacing w:after="0" w:line="240" w:lineRule="auto"/>
      </w:pPr>
      <w:r>
        <w:separator/>
      </w:r>
    </w:p>
  </w:endnote>
  <w:endnote w:type="continuationSeparator" w:id="0">
    <w:p w:rsidR="00B804F9" w:rsidRDefault="00B804F9"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806652"/>
      <w:docPartObj>
        <w:docPartGallery w:val="Page Numbers (Bottom of Page)"/>
        <w:docPartUnique/>
      </w:docPartObj>
    </w:sdtPr>
    <w:sdtEndPr>
      <w:rPr>
        <w:noProof/>
      </w:rPr>
    </w:sdtEndPr>
    <w:sdtContent>
      <w:p w:rsidR="00B804F9" w:rsidRDefault="00B804F9">
        <w:pPr>
          <w:pStyle w:val="Footer"/>
          <w:jc w:val="right"/>
        </w:pPr>
        <w:r>
          <w:fldChar w:fldCharType="begin"/>
        </w:r>
        <w:r>
          <w:instrText xml:space="preserve"> PAGE   \* MERGEFORMAT </w:instrText>
        </w:r>
        <w:r>
          <w:fldChar w:fldCharType="separate"/>
        </w:r>
        <w:r w:rsidR="00253EFE">
          <w:rPr>
            <w:noProof/>
          </w:rPr>
          <w:t>19</w:t>
        </w:r>
        <w:r>
          <w:rPr>
            <w:noProof/>
          </w:rPr>
          <w:fldChar w:fldCharType="end"/>
        </w:r>
      </w:p>
    </w:sdtContent>
  </w:sdt>
  <w:p w:rsidR="00B804F9" w:rsidRDefault="00B80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F9" w:rsidRDefault="00B804F9">
    <w:pPr>
      <w:pStyle w:val="Footer"/>
    </w:pPr>
    <w:r>
      <w:rPr>
        <w:noProof/>
        <w:lang w:eastAsia="en-GB"/>
      </w:rPr>
      <w:drawing>
        <wp:anchor distT="0" distB="0" distL="114300" distR="114300" simplePos="0" relativeHeight="251670528" behindDoc="1" locked="0" layoutInCell="1" allowOverlap="1" wp14:anchorId="58CCC8A1" wp14:editId="4339AA0C">
          <wp:simplePos x="0" y="0"/>
          <wp:positionH relativeFrom="column">
            <wp:posOffset>1357630</wp:posOffset>
          </wp:positionH>
          <wp:positionV relativeFrom="paragraph">
            <wp:posOffset>-4158615</wp:posOffset>
          </wp:positionV>
          <wp:extent cx="5180330" cy="4297680"/>
          <wp:effectExtent l="0" t="0" r="127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5" behindDoc="1" locked="0" layoutInCell="1" allowOverlap="1" wp14:anchorId="163D54DF" wp14:editId="49ED9F91">
          <wp:simplePos x="0" y="0"/>
          <wp:positionH relativeFrom="column">
            <wp:posOffset>-1002665</wp:posOffset>
          </wp:positionH>
          <wp:positionV relativeFrom="paragraph">
            <wp:posOffset>-348615</wp:posOffset>
          </wp:positionV>
          <wp:extent cx="7735824" cy="822960"/>
          <wp:effectExtent l="0" t="0" r="0" b="0"/>
          <wp:wrapNone/>
          <wp:docPr id="12" name="Picture 12"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4F9" w:rsidRDefault="00B804F9" w:rsidP="006825BF">
      <w:pPr>
        <w:spacing w:after="0" w:line="240" w:lineRule="auto"/>
      </w:pPr>
      <w:r>
        <w:separator/>
      </w:r>
    </w:p>
  </w:footnote>
  <w:footnote w:type="continuationSeparator" w:id="0">
    <w:p w:rsidR="00B804F9" w:rsidRDefault="00B804F9" w:rsidP="006825BF">
      <w:pPr>
        <w:spacing w:after="0" w:line="240" w:lineRule="auto"/>
      </w:pPr>
      <w:r>
        <w:continuationSeparator/>
      </w:r>
    </w:p>
  </w:footnote>
  <w:footnote w:id="1">
    <w:p w:rsidR="00B804F9" w:rsidRPr="00E148B6" w:rsidRDefault="00B804F9">
      <w:pPr>
        <w:pStyle w:val="FootnoteText"/>
        <w:rPr>
          <w:rFonts w:asciiTheme="minorHAnsi" w:hAnsiTheme="minorHAnsi"/>
        </w:rPr>
      </w:pPr>
      <w:r w:rsidRPr="00E148B6">
        <w:rPr>
          <w:rStyle w:val="FootnoteReference"/>
          <w:rFonts w:asciiTheme="minorHAnsi" w:hAnsiTheme="minorHAnsi"/>
        </w:rPr>
        <w:footnoteRef/>
      </w:r>
      <w:r w:rsidRPr="00E148B6">
        <w:rPr>
          <w:rFonts w:asciiTheme="minorHAnsi" w:hAnsiTheme="minorHAnsi"/>
        </w:rPr>
        <w:t xml:space="preserve"> Available at </w:t>
      </w:r>
      <w:hyperlink r:id="rId1" w:history="1">
        <w:r w:rsidRPr="00E148B6">
          <w:rPr>
            <w:rStyle w:val="Hyperlink"/>
            <w:rFonts w:asciiTheme="minorHAnsi" w:hAnsiTheme="minorHAnsi"/>
            <w:sz w:val="20"/>
          </w:rPr>
          <w:t>www.eu-patient.eu/whatwedo/Policy/Patients-Mobility/</w:t>
        </w:r>
      </w:hyperlink>
      <w:r w:rsidRPr="00E148B6">
        <w:rPr>
          <w:rFonts w:asciiTheme="minorHAnsi" w:hAnsiTheme="minorHAnsi"/>
        </w:rPr>
        <w:t xml:space="preserve"> </w:t>
      </w:r>
    </w:p>
  </w:footnote>
  <w:footnote w:id="2">
    <w:p w:rsidR="00B804F9" w:rsidRDefault="00B804F9">
      <w:pPr>
        <w:pStyle w:val="FootnoteText"/>
      </w:pPr>
      <w:r w:rsidRPr="00E148B6">
        <w:rPr>
          <w:rStyle w:val="FootnoteReference"/>
          <w:rFonts w:asciiTheme="minorHAnsi" w:hAnsiTheme="minorHAnsi"/>
        </w:rPr>
        <w:footnoteRef/>
      </w:r>
      <w:r w:rsidRPr="00E148B6">
        <w:rPr>
          <w:rFonts w:asciiTheme="minorHAnsi" w:hAnsiTheme="minorHAnsi"/>
        </w:rPr>
        <w:t xml:space="preserve"> A summary report from these events is available at </w:t>
      </w:r>
      <w:hyperlink r:id="rId2" w:history="1">
        <w:r w:rsidRPr="00E148B6">
          <w:rPr>
            <w:rStyle w:val="Hyperlink"/>
            <w:rFonts w:asciiTheme="minorHAnsi" w:hAnsiTheme="minorHAnsi"/>
            <w:sz w:val="20"/>
          </w:rPr>
          <w:t>www.eu-patient.eu/globalassets/policy/cross-borderhealthcare/cbhc-summary-report-final_external.pdf</w:t>
        </w:r>
      </w:hyperlink>
      <w:r>
        <w:t xml:space="preserve"> </w:t>
      </w:r>
    </w:p>
  </w:footnote>
  <w:footnote w:id="3">
    <w:p w:rsidR="00B804F9" w:rsidRPr="00C72DFA" w:rsidRDefault="00B804F9">
      <w:pPr>
        <w:pStyle w:val="FootnoteText"/>
        <w:rPr>
          <w:rFonts w:asciiTheme="minorHAnsi" w:hAnsiTheme="minorHAnsi"/>
        </w:rPr>
      </w:pPr>
      <w:r w:rsidRPr="00C72DFA">
        <w:rPr>
          <w:rStyle w:val="FootnoteReference"/>
          <w:rFonts w:asciiTheme="minorHAnsi" w:hAnsiTheme="minorHAnsi"/>
        </w:rPr>
        <w:footnoteRef/>
      </w:r>
      <w:r w:rsidRPr="00C72DFA">
        <w:rPr>
          <w:rFonts w:asciiTheme="minorHAnsi" w:hAnsiTheme="minorHAnsi"/>
        </w:rPr>
        <w:t xml:space="preserve"> http://ec.europa.eu/health/cross_border_care/docs/2015_evaluative_study_frep_en.pdf</w:t>
      </w:r>
    </w:p>
  </w:footnote>
  <w:footnote w:id="4">
    <w:p w:rsidR="00B804F9" w:rsidRPr="00C72DFA" w:rsidRDefault="00B804F9">
      <w:pPr>
        <w:pStyle w:val="FootnoteText"/>
        <w:rPr>
          <w:rFonts w:asciiTheme="minorHAnsi" w:hAnsiTheme="minorHAnsi"/>
        </w:rPr>
      </w:pPr>
      <w:r w:rsidRPr="00C72DFA">
        <w:rPr>
          <w:rStyle w:val="FootnoteReference"/>
          <w:rFonts w:asciiTheme="minorHAnsi" w:hAnsiTheme="minorHAnsi"/>
        </w:rPr>
        <w:footnoteRef/>
      </w:r>
      <w:r w:rsidRPr="00C72DFA">
        <w:rPr>
          <w:rFonts w:asciiTheme="minorHAnsi" w:hAnsiTheme="minorHAnsi"/>
        </w:rPr>
        <w:t xml:space="preserve"> http://ec.europa.eu/public_opinion/archives/eb_special_439_420_en.htm#425</w:t>
      </w:r>
    </w:p>
  </w:footnote>
  <w:footnote w:id="5">
    <w:p w:rsidR="00B804F9" w:rsidRDefault="00B804F9" w:rsidP="005F577E">
      <w:pPr>
        <w:pStyle w:val="FootnoteText"/>
      </w:pPr>
      <w:r>
        <w:rPr>
          <w:rStyle w:val="FootnoteReference"/>
        </w:rPr>
        <w:footnoteRef/>
      </w:r>
      <w:r>
        <w:t xml:space="preserve"> </w:t>
      </w:r>
      <w:r w:rsidRPr="00FD3C5D">
        <w:rPr>
          <w:rFonts w:asciiTheme="minorHAnsi" w:hAnsiTheme="minorHAnsi"/>
        </w:rPr>
        <w:t xml:space="preserve">Tender no. </w:t>
      </w:r>
      <w:r w:rsidRPr="005F577E">
        <w:rPr>
          <w:rFonts w:asciiTheme="minorHAnsi" w:hAnsiTheme="minorHAnsi"/>
        </w:rPr>
        <w:t xml:space="preserve">CHAFEA/2014/Health/03 concerning mapping patients’ rights in all </w:t>
      </w:r>
      <w:r>
        <w:rPr>
          <w:rFonts w:asciiTheme="minorHAnsi" w:hAnsiTheme="minorHAnsi"/>
        </w:rPr>
        <w:t>Member State</w:t>
      </w:r>
      <w:r w:rsidRPr="005F577E">
        <w:rPr>
          <w:rFonts w:asciiTheme="minorHAnsi" w:hAnsiTheme="minorHAnsi"/>
        </w:rPr>
        <w:t>s in the European Union. The report of the study will be published in early 2016.</w:t>
      </w:r>
    </w:p>
  </w:footnote>
  <w:footnote w:id="6">
    <w:p w:rsidR="00B804F9" w:rsidRDefault="00B804F9">
      <w:pPr>
        <w:pStyle w:val="FootnoteText"/>
      </w:pPr>
      <w:r>
        <w:rPr>
          <w:rStyle w:val="FootnoteReference"/>
        </w:rPr>
        <w:footnoteRef/>
      </w:r>
      <w:r>
        <w:t xml:space="preserve"> </w:t>
      </w:r>
      <w:r w:rsidRPr="00FD3C5D">
        <w:rPr>
          <w:rFonts w:asciiTheme="minorHAnsi" w:hAnsiTheme="minorHAnsi"/>
        </w:rPr>
        <w:t xml:space="preserve">“Summary report: main conclusions and recommendations arising from EPF's series of regional conferences 2013-14”, available at </w:t>
      </w:r>
      <w:hyperlink r:id="rId3" w:history="1">
        <w:r w:rsidRPr="00FD3C5D">
          <w:rPr>
            <w:rStyle w:val="Hyperlink"/>
            <w:rFonts w:asciiTheme="minorHAnsi" w:hAnsiTheme="minorHAnsi"/>
            <w:sz w:val="20"/>
          </w:rPr>
          <w:t>http://www.eu-patient.eu/globalassets/policy/cross-borderhealthcare/cbhc-summary-report-final_external.pdf</w:t>
        </w:r>
      </w:hyperlink>
      <w:r>
        <w:t xml:space="preserve"> </w:t>
      </w:r>
    </w:p>
  </w:footnote>
  <w:footnote w:id="7">
    <w:p w:rsidR="00B804F9" w:rsidRDefault="00B804F9">
      <w:pPr>
        <w:pStyle w:val="FootnoteText"/>
      </w:pPr>
      <w:r>
        <w:rPr>
          <w:rStyle w:val="FootnoteReference"/>
        </w:rPr>
        <w:footnoteRef/>
      </w:r>
      <w:r>
        <w:t xml:space="preserve"> </w:t>
      </w:r>
      <w:r w:rsidRPr="005B2F9B">
        <w:rPr>
          <w:rFonts w:asciiTheme="minorHAnsi" w:hAnsiTheme="minorHAnsi"/>
        </w:rPr>
        <w:t>EPF summary report, as above.</w:t>
      </w:r>
    </w:p>
  </w:footnote>
  <w:footnote w:id="8">
    <w:p w:rsidR="00B804F9" w:rsidRPr="00146708" w:rsidRDefault="00B804F9" w:rsidP="003D04EF">
      <w:pPr>
        <w:pStyle w:val="FootnoteText"/>
        <w:rPr>
          <w:rFonts w:asciiTheme="minorHAnsi" w:hAnsiTheme="minorHAnsi"/>
        </w:rPr>
      </w:pPr>
      <w:r w:rsidRPr="00146708">
        <w:rPr>
          <w:rStyle w:val="FootnoteReference"/>
          <w:rFonts w:asciiTheme="minorHAnsi" w:hAnsiTheme="minorHAnsi"/>
        </w:rPr>
        <w:footnoteRef/>
      </w:r>
      <w:r w:rsidRPr="00146708">
        <w:rPr>
          <w:rFonts w:asciiTheme="minorHAnsi" w:hAnsiTheme="minorHAnsi"/>
        </w:rPr>
        <w:t xml:space="preserve"> England, Scotland, Wales, Northern Ireland and Gibraltar.</w:t>
      </w:r>
      <w:r>
        <w:rPr>
          <w:rFonts w:asciiTheme="minorHAnsi" w:hAnsiTheme="minorHAnsi"/>
        </w:rPr>
        <w:t xml:space="preserve"> This means that, in total there are 32 National Contact Points covering all EU Member States. Non-EU Member States Norway and Iceland also have National Contact Points for healthcare. The full list is available at </w:t>
      </w:r>
      <w:hyperlink r:id="rId4" w:history="1">
        <w:r w:rsidRPr="00F74214">
          <w:rPr>
            <w:rStyle w:val="Hyperlink"/>
            <w:rFonts w:asciiTheme="minorHAnsi" w:hAnsiTheme="minorHAnsi"/>
            <w:sz w:val="20"/>
          </w:rPr>
          <w:t>http://europa.eu/youreurope/citizens/health/planned-healthcare/get-more-info/index_en.htm</w:t>
        </w:r>
      </w:hyperlink>
      <w:r>
        <w:rPr>
          <w:rFonts w:asciiTheme="minorHAnsi" w:hAnsiTheme="minorHAnsi"/>
        </w:rPr>
        <w:t xml:space="preserve"> </w:t>
      </w:r>
    </w:p>
  </w:footnote>
  <w:footnote w:id="9">
    <w:p w:rsidR="00B804F9" w:rsidRPr="00B811BB" w:rsidRDefault="00B804F9" w:rsidP="003D04EF">
      <w:pPr>
        <w:pStyle w:val="FootnoteText"/>
        <w:rPr>
          <w:rFonts w:asciiTheme="minorHAnsi" w:hAnsiTheme="minorHAnsi"/>
        </w:rPr>
      </w:pPr>
      <w:r>
        <w:rPr>
          <w:rStyle w:val="FootnoteReference"/>
        </w:rPr>
        <w:footnoteRef/>
      </w:r>
      <w:r>
        <w:t xml:space="preserve"> </w:t>
      </w:r>
      <w:r w:rsidRPr="00B811BB">
        <w:rPr>
          <w:rFonts w:asciiTheme="minorHAnsi" w:hAnsiTheme="minorHAnsi"/>
        </w:rPr>
        <w:t xml:space="preserve">Checklist for National Contact Points” contained in the EPF summary report from the regional events, available at </w:t>
      </w:r>
      <w:hyperlink r:id="rId5" w:history="1">
        <w:r w:rsidRPr="008720AE">
          <w:rPr>
            <w:rStyle w:val="Hyperlink"/>
            <w:rFonts w:asciiTheme="minorHAnsi" w:hAnsiTheme="minorHAnsi"/>
            <w:sz w:val="20"/>
          </w:rPr>
          <w:t>www.eu-patient.eu/globalassets/policy/cross-borderhealthcare/cbhc-summary-report-final_external.pdf</w:t>
        </w:r>
      </w:hyperlink>
      <w:r>
        <w:rPr>
          <w:rFonts w:asciiTheme="minorHAnsi" w:hAnsiTheme="minorHAnsi"/>
        </w:rPr>
        <w:t xml:space="preserve"> </w:t>
      </w:r>
      <w:r w:rsidRPr="00B811BB">
        <w:rPr>
          <w:rFonts w:asciiTheme="minorHAnsi" w:hAnsiTheme="minorHAnsi"/>
        </w:rPr>
        <w:t xml:space="preserve">   </w:t>
      </w:r>
    </w:p>
  </w:footnote>
  <w:footnote w:id="10">
    <w:p w:rsidR="00B804F9" w:rsidRPr="00D80CD7" w:rsidRDefault="00B804F9" w:rsidP="00B33C63">
      <w:pPr>
        <w:pStyle w:val="FootnoteText"/>
        <w:rPr>
          <w:rFonts w:asciiTheme="minorHAnsi" w:hAnsiTheme="minorHAnsi"/>
        </w:rPr>
      </w:pPr>
      <w:r>
        <w:rPr>
          <w:rStyle w:val="FootnoteReference"/>
        </w:rPr>
        <w:footnoteRef/>
      </w:r>
      <w:r>
        <w:t xml:space="preserve"> </w:t>
      </w:r>
      <w:r w:rsidRPr="00D80CD7">
        <w:rPr>
          <w:rFonts w:asciiTheme="minorHAnsi" w:hAnsiTheme="minorHAnsi"/>
        </w:rPr>
        <w:t xml:space="preserve">EPF position statement on health inequalities, 2010, available at </w:t>
      </w:r>
      <w:hyperlink r:id="rId6" w:history="1">
        <w:r w:rsidRPr="00D80CD7">
          <w:rPr>
            <w:rStyle w:val="Hyperlink"/>
            <w:rFonts w:asciiTheme="minorHAnsi" w:hAnsiTheme="minorHAnsi"/>
            <w:sz w:val="20"/>
          </w:rPr>
          <w:t>www.eu-patient.eu/globalassets/policy/healthinequalities/epf-position-dec2010.pdf</w:t>
        </w:r>
      </w:hyperlink>
      <w:r w:rsidRPr="00D80CD7">
        <w:rPr>
          <w:rFonts w:asciiTheme="minorHAnsi" w:hAnsiTheme="minorHAnsi"/>
        </w:rPr>
        <w:t xml:space="preserve"> </w:t>
      </w:r>
    </w:p>
  </w:footnote>
  <w:footnote w:id="11">
    <w:p w:rsidR="00B804F9" w:rsidRDefault="00B804F9" w:rsidP="00B33C63">
      <w:pPr>
        <w:pStyle w:val="FootnoteText"/>
      </w:pPr>
      <w:r>
        <w:rPr>
          <w:rStyle w:val="FootnoteReference"/>
        </w:rPr>
        <w:footnoteRef/>
      </w:r>
      <w:r>
        <w:t xml:space="preserve"> </w:t>
      </w:r>
      <w:r w:rsidRPr="00762199">
        <w:rPr>
          <w:rFonts w:asciiTheme="minorHAnsi" w:hAnsiTheme="minorHAnsi"/>
        </w:rPr>
        <w:t xml:space="preserve">See EPF guidance on the cross-border healthcare directive (2013), available at </w:t>
      </w:r>
      <w:hyperlink r:id="rId7" w:history="1">
        <w:r w:rsidRPr="00762199">
          <w:rPr>
            <w:rStyle w:val="Hyperlink"/>
            <w:rFonts w:asciiTheme="minorHAnsi" w:hAnsiTheme="minorHAnsi"/>
            <w:sz w:val="20"/>
          </w:rPr>
          <w:t>http://www.eu-patient.eu/globalassets/policy/cross-borderhealthcare/2013-11-18_cbhc_guidance-final.pdf</w:t>
        </w:r>
      </w:hyperlink>
      <w:r w:rsidRPr="00762199">
        <w:rPr>
          <w:rFonts w:asciiTheme="minorHAnsi" w:hAnsiTheme="minorHAnsi"/>
        </w:rPr>
        <w:t xml:space="preserve"> </w:t>
      </w:r>
    </w:p>
  </w:footnote>
  <w:footnote w:id="12">
    <w:p w:rsidR="00B804F9" w:rsidRDefault="00B804F9" w:rsidP="00B33C63">
      <w:pPr>
        <w:pStyle w:val="FootnoteText"/>
      </w:pPr>
      <w:r>
        <w:rPr>
          <w:rStyle w:val="FootnoteReference"/>
        </w:rPr>
        <w:footnoteRef/>
      </w:r>
      <w:r>
        <w:t xml:space="preserve"> </w:t>
      </w:r>
      <w:r w:rsidRPr="00762199">
        <w:rPr>
          <w:rFonts w:asciiTheme="minorHAnsi" w:hAnsiTheme="minorHAnsi"/>
        </w:rPr>
        <w:t>Austria, the Czech Republic, Estonia, Finland, Lithuania, the Netherlands and Sweden</w:t>
      </w:r>
      <w:r>
        <w:rPr>
          <w:rFonts w:asciiTheme="minorHAnsi" w:hAnsiTheme="minorHAnsi"/>
        </w:rPr>
        <w:t>. The non-compliant Member States are not named in the report.</w:t>
      </w:r>
    </w:p>
  </w:footnote>
  <w:footnote w:id="13">
    <w:p w:rsidR="00B804F9" w:rsidRDefault="00B804F9" w:rsidP="00B33C63">
      <w:pPr>
        <w:pStyle w:val="FootnoteText"/>
      </w:pPr>
      <w:r>
        <w:rPr>
          <w:rStyle w:val="FootnoteReference"/>
        </w:rPr>
        <w:footnoteRef/>
      </w:r>
      <w:r>
        <w:t xml:space="preserve"> </w:t>
      </w:r>
      <w:r w:rsidRPr="00F12BFF">
        <w:rPr>
          <w:rFonts w:asciiTheme="minorHAnsi" w:hAnsiTheme="minorHAnsi"/>
          <w:szCs w:val="24"/>
        </w:rPr>
        <w:t>Art. 8(7)</w:t>
      </w:r>
      <w:r>
        <w:rPr>
          <w:rFonts w:asciiTheme="minorHAnsi" w:hAnsiTheme="minorHAnsi"/>
          <w:szCs w:val="24"/>
        </w:rPr>
        <w:t xml:space="preserve"> of the directive</w:t>
      </w:r>
      <w:r w:rsidRPr="00F12BFF">
        <w:rPr>
          <w:rFonts w:asciiTheme="minorHAnsi" w:hAnsiTheme="minorHAnsi"/>
          <w:szCs w:val="24"/>
        </w:rPr>
        <w:t xml:space="preserve"> states that </w:t>
      </w:r>
      <w:r>
        <w:rPr>
          <w:rFonts w:asciiTheme="minorHAnsi" w:hAnsiTheme="minorHAnsi"/>
          <w:szCs w:val="24"/>
        </w:rPr>
        <w:t>Member State</w:t>
      </w:r>
      <w:r w:rsidRPr="00F12BFF">
        <w:rPr>
          <w:rFonts w:asciiTheme="minorHAnsi" w:hAnsiTheme="minorHAnsi"/>
          <w:szCs w:val="24"/>
        </w:rPr>
        <w:t>s must “make publicly available which healthcare is subject to prior authorisation … as well as all relevant information on the system of prior authorisation.”</w:t>
      </w:r>
    </w:p>
  </w:footnote>
  <w:footnote w:id="14">
    <w:p w:rsidR="00B804F9" w:rsidRPr="00AC7BA2" w:rsidRDefault="00B804F9" w:rsidP="00B33C63">
      <w:pPr>
        <w:pStyle w:val="FootnoteText"/>
        <w:rPr>
          <w:rFonts w:asciiTheme="minorHAnsi" w:hAnsiTheme="minorHAnsi"/>
        </w:rPr>
      </w:pPr>
      <w:r>
        <w:rPr>
          <w:rStyle w:val="FootnoteReference"/>
        </w:rPr>
        <w:footnoteRef/>
      </w:r>
      <w:r>
        <w:t xml:space="preserve"> </w:t>
      </w:r>
      <w:r w:rsidRPr="00AC7BA2">
        <w:rPr>
          <w:rFonts w:asciiTheme="minorHAnsi" w:hAnsiTheme="minorHAnsi"/>
        </w:rPr>
        <w:t>Bulgaria, Croatia, Denmark, Ireland, France, Luxembourg, Slovakia, Spain and the UK</w:t>
      </w:r>
    </w:p>
  </w:footnote>
  <w:footnote w:id="15">
    <w:p w:rsidR="00B804F9" w:rsidRPr="00357013" w:rsidRDefault="00B804F9" w:rsidP="00B33C63">
      <w:pPr>
        <w:pStyle w:val="FootnoteText"/>
        <w:rPr>
          <w:rFonts w:asciiTheme="minorHAnsi" w:hAnsiTheme="minorHAnsi"/>
        </w:rPr>
      </w:pPr>
      <w:r>
        <w:rPr>
          <w:rStyle w:val="FootnoteReference"/>
        </w:rPr>
        <w:footnoteRef/>
      </w:r>
      <w:r>
        <w:t xml:space="preserve"> </w:t>
      </w:r>
      <w:r w:rsidRPr="00357013">
        <w:rPr>
          <w:rFonts w:asciiTheme="minorHAnsi" w:hAnsiTheme="minorHAnsi"/>
        </w:rPr>
        <w:t>Hungary, Cyprus and Slovenia</w:t>
      </w:r>
    </w:p>
  </w:footnote>
  <w:footnote w:id="16">
    <w:p w:rsidR="00B804F9" w:rsidRDefault="00B804F9" w:rsidP="00B33C63">
      <w:pPr>
        <w:pStyle w:val="FootnoteText"/>
      </w:pPr>
      <w:r>
        <w:rPr>
          <w:rStyle w:val="FootnoteReference"/>
        </w:rPr>
        <w:footnoteRef/>
      </w:r>
      <w:r>
        <w:t xml:space="preserve"> </w:t>
      </w:r>
      <w:r w:rsidRPr="00E87915">
        <w:rPr>
          <w:rFonts w:asciiTheme="minorHAnsi" w:hAnsiTheme="minorHAnsi"/>
        </w:rPr>
        <w:t xml:space="preserve">We argued hard during the legislative process that the directive should provide for direct payment of costs between </w:t>
      </w:r>
      <w:r>
        <w:rPr>
          <w:rFonts w:asciiTheme="minorHAnsi" w:hAnsiTheme="minorHAnsi"/>
        </w:rPr>
        <w:t>Member State</w:t>
      </w:r>
      <w:r w:rsidRPr="00E87915">
        <w:rPr>
          <w:rFonts w:asciiTheme="minorHAnsi" w:hAnsiTheme="minorHAnsi"/>
        </w:rPr>
        <w:t>s. Finally, this was included but as an entirely voluntary option.</w:t>
      </w:r>
    </w:p>
  </w:footnote>
  <w:footnote w:id="17">
    <w:p w:rsidR="00B804F9" w:rsidRPr="00F263BC" w:rsidRDefault="00B804F9" w:rsidP="00B33C63">
      <w:pPr>
        <w:spacing w:after="0" w:line="240" w:lineRule="auto"/>
        <w:jc w:val="both"/>
        <w:rPr>
          <w:sz w:val="20"/>
          <w:szCs w:val="24"/>
        </w:rPr>
      </w:pPr>
      <w:r>
        <w:rPr>
          <w:rStyle w:val="FootnoteReference"/>
        </w:rPr>
        <w:footnoteRef/>
      </w:r>
      <w:r>
        <w:t xml:space="preserve"> </w:t>
      </w:r>
      <w:r w:rsidRPr="00F263BC">
        <w:rPr>
          <w:sz w:val="20"/>
          <w:szCs w:val="24"/>
        </w:rPr>
        <w:t xml:space="preserve">For an overview of the provisions on reimbursement, please see the EPF Guidance document, pp. 8-9. </w:t>
      </w:r>
    </w:p>
    <w:p w:rsidR="00B804F9" w:rsidRPr="00F263BC" w:rsidRDefault="00B804F9" w:rsidP="00B33C63">
      <w:pPr>
        <w:pStyle w:val="FootnoteText"/>
        <w:rPr>
          <w:sz w:val="16"/>
        </w:rPr>
      </w:pPr>
    </w:p>
  </w:footnote>
  <w:footnote w:id="18">
    <w:p w:rsidR="00B804F9" w:rsidRDefault="00B804F9" w:rsidP="00B33C63">
      <w:pPr>
        <w:pStyle w:val="FootnoteText"/>
      </w:pPr>
      <w:r>
        <w:rPr>
          <w:rStyle w:val="FootnoteReference"/>
        </w:rPr>
        <w:footnoteRef/>
      </w:r>
      <w:r>
        <w:t xml:space="preserve"> </w:t>
      </w:r>
      <w:r w:rsidRPr="00F263BC">
        <w:rPr>
          <w:rFonts w:asciiTheme="minorHAnsi" w:hAnsiTheme="minorHAnsi"/>
          <w:szCs w:val="24"/>
        </w:rPr>
        <w:t xml:space="preserve">See </w:t>
      </w:r>
      <w:r>
        <w:rPr>
          <w:rFonts w:asciiTheme="minorHAnsi" w:hAnsiTheme="minorHAnsi"/>
          <w:szCs w:val="24"/>
        </w:rPr>
        <w:t xml:space="preserve">EC </w:t>
      </w:r>
      <w:r w:rsidRPr="00F263BC">
        <w:rPr>
          <w:rFonts w:asciiTheme="minorHAnsi" w:hAnsiTheme="minorHAnsi"/>
          <w:szCs w:val="24"/>
        </w:rPr>
        <w:t>report, p.6</w:t>
      </w:r>
    </w:p>
  </w:footnote>
  <w:footnote w:id="19">
    <w:p w:rsidR="00B804F9" w:rsidRPr="0085432D" w:rsidRDefault="00B804F9" w:rsidP="00B33C63">
      <w:pPr>
        <w:pStyle w:val="FootnoteText"/>
        <w:rPr>
          <w:rFonts w:asciiTheme="minorHAnsi" w:hAnsiTheme="minorHAnsi"/>
        </w:rPr>
      </w:pPr>
      <w:r w:rsidRPr="0085432D">
        <w:rPr>
          <w:rStyle w:val="FootnoteReference"/>
          <w:rFonts w:asciiTheme="minorHAnsi" w:hAnsiTheme="minorHAnsi"/>
        </w:rPr>
        <w:footnoteRef/>
      </w:r>
      <w:r w:rsidRPr="0085432D">
        <w:rPr>
          <w:rFonts w:asciiTheme="minorHAnsi" w:hAnsiTheme="minorHAnsi"/>
        </w:rPr>
        <w:t xml:space="preserve"> </w:t>
      </w:r>
      <w:r>
        <w:rPr>
          <w:rFonts w:asciiTheme="minorHAnsi" w:hAnsiTheme="minorHAnsi"/>
        </w:rPr>
        <w:t xml:space="preserve">Commission </w:t>
      </w:r>
      <w:r w:rsidRPr="0085432D">
        <w:rPr>
          <w:rFonts w:asciiTheme="minorHAnsi" w:hAnsiTheme="minorHAnsi"/>
        </w:rPr>
        <w:t>Implementing Directive 2012/52/EU</w:t>
      </w:r>
      <w:r>
        <w:rPr>
          <w:rFonts w:asciiTheme="minorHAnsi" w:hAnsiTheme="minorHAnsi"/>
        </w:rPr>
        <w:t xml:space="preserve"> laying down measures to facilitate the recognition of medical prescriptions issued in another Member State. </w:t>
      </w:r>
    </w:p>
  </w:footnote>
  <w:footnote w:id="20">
    <w:p w:rsidR="00B804F9" w:rsidRPr="00AC5032" w:rsidRDefault="00B804F9" w:rsidP="00B33C63">
      <w:pPr>
        <w:pStyle w:val="FootnoteText"/>
        <w:rPr>
          <w:rFonts w:asciiTheme="minorHAnsi" w:hAnsiTheme="minorHAnsi"/>
        </w:rPr>
      </w:pPr>
      <w:r>
        <w:rPr>
          <w:rStyle w:val="FootnoteReference"/>
        </w:rPr>
        <w:footnoteRef/>
      </w:r>
      <w:r>
        <w:t xml:space="preserve"> </w:t>
      </w:r>
      <w:r w:rsidRPr="00AC5032">
        <w:rPr>
          <w:rFonts w:asciiTheme="minorHAnsi" w:hAnsiTheme="minorHAnsi"/>
        </w:rPr>
        <w:t>INN or International Non</w:t>
      </w:r>
      <w:r>
        <w:rPr>
          <w:rFonts w:asciiTheme="minorHAnsi" w:hAnsiTheme="minorHAnsi"/>
        </w:rPr>
        <w:t>-</w:t>
      </w:r>
      <w:r w:rsidRPr="00AC5032">
        <w:rPr>
          <w:rFonts w:asciiTheme="minorHAnsi" w:hAnsiTheme="minorHAnsi"/>
        </w:rPr>
        <w:t>proprietary Name</w:t>
      </w:r>
    </w:p>
  </w:footnote>
  <w:footnote w:id="21">
    <w:p w:rsidR="00B804F9" w:rsidRDefault="00B804F9">
      <w:pPr>
        <w:pStyle w:val="FootnoteText"/>
      </w:pPr>
      <w:r>
        <w:rPr>
          <w:rStyle w:val="FootnoteReference"/>
        </w:rPr>
        <w:footnoteRef/>
      </w:r>
      <w:r>
        <w:t xml:space="preserve"> see EPF guidance</w:t>
      </w:r>
    </w:p>
  </w:footnote>
  <w:footnote w:id="22">
    <w:p w:rsidR="00B804F9" w:rsidRPr="008B2E56" w:rsidRDefault="00B804F9">
      <w:pPr>
        <w:pStyle w:val="FootnoteText"/>
        <w:rPr>
          <w:rFonts w:asciiTheme="minorHAnsi" w:hAnsiTheme="minorHAnsi"/>
        </w:rPr>
      </w:pPr>
      <w:r>
        <w:rPr>
          <w:rStyle w:val="FootnoteReference"/>
        </w:rPr>
        <w:footnoteRef/>
      </w:r>
      <w:r>
        <w:t xml:space="preserve"> </w:t>
      </w:r>
      <w:r w:rsidRPr="008B2E56">
        <w:rPr>
          <w:rFonts w:asciiTheme="minorHAnsi" w:hAnsiTheme="minorHAnsi"/>
        </w:rPr>
        <w:t>Some countries do have such resources. Examples will be added.</w:t>
      </w:r>
    </w:p>
  </w:footnote>
  <w:footnote w:id="23">
    <w:p w:rsidR="00B804F9" w:rsidRPr="00E2766C" w:rsidRDefault="00B804F9" w:rsidP="008B2E56">
      <w:pPr>
        <w:pStyle w:val="FootnoteText"/>
        <w:rPr>
          <w:rFonts w:asciiTheme="minorHAnsi" w:hAnsiTheme="minorHAnsi"/>
        </w:rPr>
      </w:pPr>
      <w:r w:rsidRPr="00E2766C">
        <w:rPr>
          <w:rStyle w:val="FootnoteReference"/>
          <w:rFonts w:asciiTheme="minorHAnsi" w:hAnsiTheme="minorHAnsi"/>
        </w:rPr>
        <w:footnoteRef/>
      </w:r>
      <w:r w:rsidRPr="00E2766C">
        <w:rPr>
          <w:rFonts w:asciiTheme="minorHAnsi" w:hAnsiTheme="minorHAnsi"/>
        </w:rPr>
        <w:t xml:space="preserve"> EC evaluative study: 19 out of 32</w:t>
      </w:r>
      <w:r>
        <w:rPr>
          <w:rFonts w:asciiTheme="minorHAnsi" w:hAnsiTheme="minorHAnsi"/>
        </w:rPr>
        <w:t>, not named</w:t>
      </w:r>
      <w:r w:rsidRPr="00E2766C">
        <w:rPr>
          <w:rFonts w:asciiTheme="minorHAnsi" w:hAnsiTheme="minorHAnsi"/>
        </w:rPr>
        <w:t xml:space="preserve">. </w:t>
      </w:r>
    </w:p>
  </w:footnote>
  <w:footnote w:id="24">
    <w:p w:rsidR="00B804F9" w:rsidRDefault="00B804F9">
      <w:pPr>
        <w:pStyle w:val="FootnoteText"/>
      </w:pPr>
      <w:r>
        <w:rPr>
          <w:rStyle w:val="FootnoteReference"/>
        </w:rPr>
        <w:footnoteRef/>
      </w:r>
      <w:r>
        <w:t xml:space="preserve"> </w:t>
      </w:r>
      <w:r w:rsidRPr="00AB4029">
        <w:rPr>
          <w:rFonts w:asciiTheme="minorHAnsi" w:hAnsiTheme="minorHAnsi"/>
        </w:rPr>
        <w:t>patient reported outcome measures and patient reported experience measures.</w:t>
      </w:r>
    </w:p>
  </w:footnote>
  <w:footnote w:id="25">
    <w:p w:rsidR="00B804F9" w:rsidRPr="007778F0" w:rsidRDefault="00B804F9">
      <w:pPr>
        <w:pStyle w:val="FootnoteText"/>
        <w:rPr>
          <w:rFonts w:asciiTheme="minorHAnsi" w:hAnsiTheme="minorHAnsi"/>
        </w:rPr>
      </w:pPr>
      <w:r>
        <w:rPr>
          <w:rStyle w:val="FootnoteReference"/>
        </w:rPr>
        <w:footnoteRef/>
      </w:r>
      <w:r>
        <w:t xml:space="preserve"> </w:t>
      </w:r>
      <w:r w:rsidRPr="007778F0">
        <w:rPr>
          <w:rFonts w:asciiTheme="minorHAnsi" w:hAnsiTheme="minorHAnsi"/>
        </w:rPr>
        <w:t>For more information see the directive, Article 12 and EPF guidance, pp. 15-16.</w:t>
      </w:r>
    </w:p>
  </w:footnote>
  <w:footnote w:id="26">
    <w:p w:rsidR="00B804F9" w:rsidRDefault="00B804F9">
      <w:pPr>
        <w:pStyle w:val="FootnoteText"/>
      </w:pPr>
      <w:r>
        <w:rPr>
          <w:rStyle w:val="FootnoteReference"/>
        </w:rPr>
        <w:footnoteRef/>
      </w:r>
      <w:r>
        <w:t xml:space="preserve"> </w:t>
      </w:r>
      <w:r w:rsidRPr="003D3339">
        <w:rPr>
          <w:rFonts w:asciiTheme="minorHAnsi" w:hAnsiTheme="minorHAnsi"/>
        </w:rPr>
        <w:t>Source: International Federation for Spina Bifida and Hydrocephalus (IF)</w:t>
      </w:r>
      <w:r w:rsidRPr="003D3339">
        <w:t xml:space="preserve"> </w:t>
      </w:r>
    </w:p>
  </w:footnote>
  <w:footnote w:id="27">
    <w:p w:rsidR="00B804F9" w:rsidRDefault="00B804F9">
      <w:pPr>
        <w:pStyle w:val="FootnoteText"/>
      </w:pPr>
      <w:r>
        <w:rPr>
          <w:rStyle w:val="FootnoteReference"/>
        </w:rPr>
        <w:footnoteRef/>
      </w:r>
      <w:r>
        <w:t xml:space="preserve"> </w:t>
      </w:r>
      <w:r w:rsidRPr="007778F0">
        <w:rPr>
          <w:rFonts w:asciiTheme="minorHAnsi" w:hAnsiTheme="minorHAnsi"/>
        </w:rPr>
        <w:t xml:space="preserve">See </w:t>
      </w:r>
      <w:r>
        <w:rPr>
          <w:rFonts w:asciiTheme="minorHAnsi" w:hAnsiTheme="minorHAnsi"/>
        </w:rPr>
        <w:t xml:space="preserve">report from the EU-funded </w:t>
      </w:r>
      <w:r w:rsidRPr="007778F0">
        <w:rPr>
          <w:rFonts w:asciiTheme="minorHAnsi" w:hAnsiTheme="minorHAnsi"/>
        </w:rPr>
        <w:t xml:space="preserve">project “Chain of Trust”, on </w:t>
      </w:r>
      <w:hyperlink r:id="rId8" w:history="1">
        <w:r w:rsidRPr="008720AE">
          <w:rPr>
            <w:rStyle w:val="Hyperlink"/>
            <w:rFonts w:asciiTheme="minorHAnsi" w:hAnsiTheme="minorHAnsi"/>
            <w:sz w:val="20"/>
          </w:rPr>
          <w:t>http://www.eu-patient.eu/whatwedo/Projects/Chain-of-Trust/</w:t>
        </w:r>
      </w:hyperlink>
      <w:r>
        <w:rPr>
          <w:rFonts w:asciiTheme="minorHAnsi" w:hAnsiTheme="minorHAnsi"/>
        </w:rPr>
        <w:t xml:space="preserve"> </w:t>
      </w:r>
    </w:p>
  </w:footnote>
  <w:footnote w:id="28">
    <w:p w:rsidR="00B804F9" w:rsidRDefault="00B804F9">
      <w:pPr>
        <w:pStyle w:val="FootnoteText"/>
      </w:pPr>
      <w:r>
        <w:rPr>
          <w:rStyle w:val="FootnoteReference"/>
        </w:rPr>
        <w:footnoteRef/>
      </w:r>
      <w:r>
        <w:t xml:space="preserve"> F</w:t>
      </w:r>
      <w:r w:rsidRPr="008D2460">
        <w:rPr>
          <w:rFonts w:asciiTheme="minorHAnsi" w:hAnsiTheme="minorHAnsi"/>
        </w:rPr>
        <w:t>or more information see EPF guidance, pp. 16-17</w:t>
      </w:r>
    </w:p>
  </w:footnote>
  <w:footnote w:id="29">
    <w:p w:rsidR="0097392A" w:rsidRPr="0097392A" w:rsidRDefault="0097392A">
      <w:pPr>
        <w:pStyle w:val="FootnoteText"/>
        <w:rPr>
          <w:rFonts w:asciiTheme="minorHAnsi" w:hAnsiTheme="minorHAnsi"/>
        </w:rPr>
      </w:pPr>
      <w:r>
        <w:rPr>
          <w:rStyle w:val="FootnoteReference"/>
        </w:rPr>
        <w:footnoteRef/>
      </w:r>
      <w:r>
        <w:t xml:space="preserve"> </w:t>
      </w:r>
      <w:r w:rsidRPr="0097392A">
        <w:rPr>
          <w:rFonts w:asciiTheme="minorHAnsi" w:hAnsiTheme="minorHAnsi"/>
        </w:rPr>
        <w:t xml:space="preserve">Meaningful involvement implies that patients take an active role in activities or decisions that will have an impact on the patient community; their involvement is both necessary and valued because of the </w:t>
      </w:r>
      <w:r w:rsidRPr="0097392A">
        <w:rPr>
          <w:rFonts w:asciiTheme="minorHAnsi" w:hAnsiTheme="minorHAnsi"/>
          <w:i/>
        </w:rPr>
        <w:t xml:space="preserve">specific knowledge </w:t>
      </w:r>
      <w:r w:rsidRPr="0097392A">
        <w:rPr>
          <w:rFonts w:asciiTheme="minorHAnsi" w:hAnsiTheme="minorHAnsi"/>
        </w:rPr>
        <w:t xml:space="preserve">they develop through the </w:t>
      </w:r>
      <w:r w:rsidRPr="0097392A">
        <w:rPr>
          <w:rFonts w:asciiTheme="minorHAnsi" w:hAnsiTheme="minorHAnsi"/>
          <w:i/>
        </w:rPr>
        <w:t>lived experience</w:t>
      </w:r>
      <w:r w:rsidRPr="0097392A">
        <w:rPr>
          <w:rFonts w:asciiTheme="minorHAnsi" w:hAnsiTheme="minorHAnsi"/>
        </w:rPr>
        <w:t xml:space="preserve"> of being patients. Such involvement must be appropriately </w:t>
      </w:r>
      <w:r w:rsidRPr="0097392A">
        <w:rPr>
          <w:rFonts w:asciiTheme="minorHAnsi" w:hAnsiTheme="minorHAnsi"/>
          <w:i/>
        </w:rPr>
        <w:t>planned, resourced and evaluated</w:t>
      </w:r>
      <w:r w:rsidRPr="0097392A">
        <w:rPr>
          <w:rFonts w:asciiTheme="minorHAnsi" w:hAnsiTheme="minorHAnsi"/>
        </w:rPr>
        <w:t xml:space="preserve"> according to the values and purposes of all participants.   More information and tools available at </w:t>
      </w:r>
      <w:hyperlink r:id="rId9" w:history="1">
        <w:r w:rsidRPr="0097392A">
          <w:rPr>
            <w:rStyle w:val="Hyperlink"/>
            <w:rFonts w:asciiTheme="minorHAnsi" w:hAnsiTheme="minorHAnsi"/>
            <w:sz w:val="20"/>
          </w:rPr>
          <w:t>http://www.eu-patient.eu/whatwedo/Projects/ValuePlus/</w:t>
        </w:r>
      </w:hyperlink>
      <w:r w:rsidRPr="0097392A">
        <w:rPr>
          <w:rFonts w:asciiTheme="minorHAnsi" w:hAnsiTheme="minorHAnsi"/>
        </w:rPr>
        <w:t xml:space="preserve"> </w:t>
      </w:r>
    </w:p>
  </w:footnote>
  <w:footnote w:id="30">
    <w:p w:rsidR="00B804F9" w:rsidRDefault="00B804F9" w:rsidP="00886036">
      <w:pPr>
        <w:pStyle w:val="FootnoteText"/>
      </w:pPr>
      <w:r>
        <w:rPr>
          <w:rStyle w:val="FootnoteReference"/>
        </w:rPr>
        <w:footnoteRef/>
      </w:r>
      <w:r>
        <w:t xml:space="preserve"> </w:t>
      </w:r>
      <w:r w:rsidRPr="00886036">
        <w:rPr>
          <w:rFonts w:asciiTheme="minorHAnsi" w:hAnsiTheme="minorHAnsi"/>
        </w:rPr>
        <w:t xml:space="preserve">European Network of Rare Disease Help Lines (ENRDHLs) for more information see </w:t>
      </w:r>
      <w:proofErr w:type="spellStart"/>
      <w:r w:rsidRPr="00886036">
        <w:rPr>
          <w:rFonts w:asciiTheme="minorHAnsi" w:hAnsiTheme="minorHAnsi"/>
        </w:rPr>
        <w:t>Hoyez</w:t>
      </w:r>
      <w:proofErr w:type="spellEnd"/>
      <w:r w:rsidRPr="00886036">
        <w:rPr>
          <w:rFonts w:asciiTheme="minorHAnsi" w:hAnsiTheme="minorHAnsi"/>
        </w:rPr>
        <w:t xml:space="preserve"> et al. (2014) at </w:t>
      </w:r>
      <w:hyperlink r:id="rId10" w:history="1">
        <w:r w:rsidRPr="00886036">
          <w:rPr>
            <w:rStyle w:val="Hyperlink"/>
            <w:rFonts w:asciiTheme="minorHAnsi" w:hAnsiTheme="minorHAnsi"/>
            <w:sz w:val="20"/>
          </w:rPr>
          <w:t>www.ncbi.nlm.nih.gov/pubmed/24797216</w:t>
        </w:r>
      </w:hyperlink>
      <w:r w:rsidRPr="00886036">
        <w:rPr>
          <w:rFonts w:asciiTheme="minorHAnsi" w:hAnsiTheme="minorHAnsi"/>
        </w:rPr>
        <w:t xml:space="preserve">; also see EURORDIS at </w:t>
      </w:r>
      <w:hyperlink r:id="rId11" w:history="1">
        <w:r w:rsidRPr="00886036">
          <w:rPr>
            <w:rStyle w:val="Hyperlink"/>
            <w:rFonts w:asciiTheme="minorHAnsi" w:hAnsiTheme="minorHAnsi"/>
            <w:sz w:val="20"/>
          </w:rPr>
          <w:t>www.eurordis.org/content/help-line-services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F9" w:rsidRPr="006825BF" w:rsidRDefault="00B804F9" w:rsidP="006825BF">
    <w:pPr>
      <w:pStyle w:val="Header"/>
    </w:pPr>
    <w:r>
      <w:rPr>
        <w:noProof/>
        <w:lang w:eastAsia="en-GB"/>
      </w:rPr>
      <w:drawing>
        <wp:anchor distT="0" distB="0" distL="114300" distR="114300" simplePos="0" relativeHeight="251663360" behindDoc="0" locked="0" layoutInCell="1" allowOverlap="1" wp14:anchorId="6B58BB61" wp14:editId="46196F39">
          <wp:simplePos x="0" y="0"/>
          <wp:positionH relativeFrom="column">
            <wp:posOffset>-274320</wp:posOffset>
          </wp:positionH>
          <wp:positionV relativeFrom="paragraph">
            <wp:posOffset>56515</wp:posOffset>
          </wp:positionV>
          <wp:extent cx="1844040" cy="807720"/>
          <wp:effectExtent l="0" t="0" r="3810" b="0"/>
          <wp:wrapNone/>
          <wp:docPr id="10" name="Picture 10"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426B4"/>
    <w:multiLevelType w:val="hybridMultilevel"/>
    <w:tmpl w:val="72025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A6B27"/>
    <w:multiLevelType w:val="multilevel"/>
    <w:tmpl w:val="21E600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43487A"/>
    <w:multiLevelType w:val="hybridMultilevel"/>
    <w:tmpl w:val="1F3A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43E56"/>
    <w:multiLevelType w:val="hybridMultilevel"/>
    <w:tmpl w:val="7898F3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26BF3"/>
    <w:multiLevelType w:val="hybridMultilevel"/>
    <w:tmpl w:val="437A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43D2F"/>
    <w:multiLevelType w:val="hybridMultilevel"/>
    <w:tmpl w:val="EFFC2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43598"/>
    <w:multiLevelType w:val="hybridMultilevel"/>
    <w:tmpl w:val="B2A25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373DF"/>
    <w:multiLevelType w:val="hybridMultilevel"/>
    <w:tmpl w:val="052CC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F3C51"/>
    <w:multiLevelType w:val="hybridMultilevel"/>
    <w:tmpl w:val="9ED85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3739F"/>
    <w:multiLevelType w:val="multilevel"/>
    <w:tmpl w:val="1E9CB0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2C7CAD"/>
    <w:multiLevelType w:val="hybridMultilevel"/>
    <w:tmpl w:val="FAD2E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81747"/>
    <w:multiLevelType w:val="hybridMultilevel"/>
    <w:tmpl w:val="38FA3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C400D"/>
    <w:multiLevelType w:val="multilevel"/>
    <w:tmpl w:val="E782F35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1D6C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0502E2"/>
    <w:multiLevelType w:val="hybridMultilevel"/>
    <w:tmpl w:val="993E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E23EDD"/>
    <w:multiLevelType w:val="hybridMultilevel"/>
    <w:tmpl w:val="ED0E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57824"/>
    <w:multiLevelType w:val="hybridMultilevel"/>
    <w:tmpl w:val="883C03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0F4469"/>
    <w:multiLevelType w:val="hybridMultilevel"/>
    <w:tmpl w:val="58005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150DC"/>
    <w:multiLevelType w:val="hybridMultilevel"/>
    <w:tmpl w:val="969E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E05B4"/>
    <w:multiLevelType w:val="hybridMultilevel"/>
    <w:tmpl w:val="F04E6B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D2D05"/>
    <w:multiLevelType w:val="hybridMultilevel"/>
    <w:tmpl w:val="DA4EA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140F67"/>
    <w:multiLevelType w:val="hybridMultilevel"/>
    <w:tmpl w:val="ABCE8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5B26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6E3B4E"/>
    <w:multiLevelType w:val="multilevel"/>
    <w:tmpl w:val="1C86BC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43C66C8"/>
    <w:multiLevelType w:val="hybridMultilevel"/>
    <w:tmpl w:val="99C24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EE001E"/>
    <w:multiLevelType w:val="hybridMultilevel"/>
    <w:tmpl w:val="641C1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A82673"/>
    <w:multiLevelType w:val="hybridMultilevel"/>
    <w:tmpl w:val="7638E7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A2188A"/>
    <w:multiLevelType w:val="hybridMultilevel"/>
    <w:tmpl w:val="C4347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BE5F23"/>
    <w:multiLevelType w:val="hybridMultilevel"/>
    <w:tmpl w:val="03EC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7"/>
  </w:num>
  <w:num w:numId="4">
    <w:abstractNumId w:val="14"/>
  </w:num>
  <w:num w:numId="5">
    <w:abstractNumId w:val="27"/>
  </w:num>
  <w:num w:numId="6">
    <w:abstractNumId w:val="9"/>
  </w:num>
  <w:num w:numId="7">
    <w:abstractNumId w:val="2"/>
  </w:num>
  <w:num w:numId="8">
    <w:abstractNumId w:val="24"/>
  </w:num>
  <w:num w:numId="9">
    <w:abstractNumId w:val="28"/>
  </w:num>
  <w:num w:numId="10">
    <w:abstractNumId w:val="4"/>
  </w:num>
  <w:num w:numId="11">
    <w:abstractNumId w:val="7"/>
  </w:num>
  <w:num w:numId="12">
    <w:abstractNumId w:val="16"/>
  </w:num>
  <w:num w:numId="13">
    <w:abstractNumId w:val="11"/>
  </w:num>
  <w:num w:numId="14">
    <w:abstractNumId w:val="3"/>
  </w:num>
  <w:num w:numId="15">
    <w:abstractNumId w:val="26"/>
  </w:num>
  <w:num w:numId="16">
    <w:abstractNumId w:val="20"/>
  </w:num>
  <w:num w:numId="17">
    <w:abstractNumId w:val="23"/>
  </w:num>
  <w:num w:numId="18">
    <w:abstractNumId w:val="19"/>
  </w:num>
  <w:num w:numId="19">
    <w:abstractNumId w:val="6"/>
  </w:num>
  <w:num w:numId="20">
    <w:abstractNumId w:val="21"/>
  </w:num>
  <w:num w:numId="21">
    <w:abstractNumId w:val="15"/>
  </w:num>
  <w:num w:numId="22">
    <w:abstractNumId w:val="5"/>
  </w:num>
  <w:num w:numId="23">
    <w:abstractNumId w:val="0"/>
  </w:num>
  <w:num w:numId="24">
    <w:abstractNumId w:val="12"/>
  </w:num>
  <w:num w:numId="25">
    <w:abstractNumId w:val="25"/>
  </w:num>
  <w:num w:numId="26">
    <w:abstractNumId w:val="8"/>
  </w:num>
  <w:num w:numId="27">
    <w:abstractNumId w:val="10"/>
  </w:num>
  <w:num w:numId="28">
    <w:abstractNumId w:val="22"/>
  </w:num>
  <w:num w:numId="29">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3E2353-1B56-4C70-9C4B-9FC0B4E5A13C}"/>
    <w:docVar w:name="dgnword-eventsink" w:val="356492760"/>
  </w:docVars>
  <w:rsids>
    <w:rsidRoot w:val="00763841"/>
    <w:rsid w:val="00003654"/>
    <w:rsid w:val="0001188A"/>
    <w:rsid w:val="0001553E"/>
    <w:rsid w:val="00017550"/>
    <w:rsid w:val="000264BF"/>
    <w:rsid w:val="0003006B"/>
    <w:rsid w:val="00036668"/>
    <w:rsid w:val="00052D3E"/>
    <w:rsid w:val="000530F2"/>
    <w:rsid w:val="00055FBB"/>
    <w:rsid w:val="00057845"/>
    <w:rsid w:val="00070B56"/>
    <w:rsid w:val="000836FD"/>
    <w:rsid w:val="00087CA3"/>
    <w:rsid w:val="00091B66"/>
    <w:rsid w:val="00094C89"/>
    <w:rsid w:val="000B0D65"/>
    <w:rsid w:val="000C1056"/>
    <w:rsid w:val="000C26B1"/>
    <w:rsid w:val="000D0571"/>
    <w:rsid w:val="000D782A"/>
    <w:rsid w:val="000F3A9B"/>
    <w:rsid w:val="000F5AA5"/>
    <w:rsid w:val="0011564F"/>
    <w:rsid w:val="00120B19"/>
    <w:rsid w:val="00125897"/>
    <w:rsid w:val="0013116E"/>
    <w:rsid w:val="00140073"/>
    <w:rsid w:val="00146708"/>
    <w:rsid w:val="00162D30"/>
    <w:rsid w:val="00166DC1"/>
    <w:rsid w:val="00170601"/>
    <w:rsid w:val="0017248B"/>
    <w:rsid w:val="00190859"/>
    <w:rsid w:val="001A0ADA"/>
    <w:rsid w:val="001A3BAB"/>
    <w:rsid w:val="001B3150"/>
    <w:rsid w:val="001B5B5B"/>
    <w:rsid w:val="001D59BB"/>
    <w:rsid w:val="002054B6"/>
    <w:rsid w:val="00207137"/>
    <w:rsid w:val="0021094F"/>
    <w:rsid w:val="00212091"/>
    <w:rsid w:val="0022168A"/>
    <w:rsid w:val="002312AE"/>
    <w:rsid w:val="00235AB6"/>
    <w:rsid w:val="00253EFE"/>
    <w:rsid w:val="00255D25"/>
    <w:rsid w:val="002618D2"/>
    <w:rsid w:val="00262496"/>
    <w:rsid w:val="002636E9"/>
    <w:rsid w:val="00266B38"/>
    <w:rsid w:val="002750A3"/>
    <w:rsid w:val="002803A3"/>
    <w:rsid w:val="00297E8E"/>
    <w:rsid w:val="002B3798"/>
    <w:rsid w:val="002B75A8"/>
    <w:rsid w:val="002C3A0E"/>
    <w:rsid w:val="002E1110"/>
    <w:rsid w:val="002E475D"/>
    <w:rsid w:val="002F0838"/>
    <w:rsid w:val="002F190B"/>
    <w:rsid w:val="0030471A"/>
    <w:rsid w:val="003054B4"/>
    <w:rsid w:val="00306B9C"/>
    <w:rsid w:val="00307569"/>
    <w:rsid w:val="0031186B"/>
    <w:rsid w:val="0031520B"/>
    <w:rsid w:val="003160D2"/>
    <w:rsid w:val="00340291"/>
    <w:rsid w:val="003476E1"/>
    <w:rsid w:val="00357013"/>
    <w:rsid w:val="003608D2"/>
    <w:rsid w:val="00366E75"/>
    <w:rsid w:val="00372F9E"/>
    <w:rsid w:val="00376449"/>
    <w:rsid w:val="00384AF0"/>
    <w:rsid w:val="003B2EB3"/>
    <w:rsid w:val="003C6C96"/>
    <w:rsid w:val="003D04EF"/>
    <w:rsid w:val="003D1A12"/>
    <w:rsid w:val="003D2671"/>
    <w:rsid w:val="003D28EE"/>
    <w:rsid w:val="003D2DB7"/>
    <w:rsid w:val="003D3339"/>
    <w:rsid w:val="003D4F3B"/>
    <w:rsid w:val="003D779C"/>
    <w:rsid w:val="003F0D85"/>
    <w:rsid w:val="003F1D1B"/>
    <w:rsid w:val="003F34E8"/>
    <w:rsid w:val="00401EA4"/>
    <w:rsid w:val="00403EA3"/>
    <w:rsid w:val="0041693F"/>
    <w:rsid w:val="00424728"/>
    <w:rsid w:val="004523E6"/>
    <w:rsid w:val="00462352"/>
    <w:rsid w:val="00467FBC"/>
    <w:rsid w:val="004719C5"/>
    <w:rsid w:val="00474E37"/>
    <w:rsid w:val="0048286B"/>
    <w:rsid w:val="00487F48"/>
    <w:rsid w:val="004A4B74"/>
    <w:rsid w:val="004A5102"/>
    <w:rsid w:val="004D769B"/>
    <w:rsid w:val="004E1192"/>
    <w:rsid w:val="004E4D3B"/>
    <w:rsid w:val="004F2166"/>
    <w:rsid w:val="00511B0F"/>
    <w:rsid w:val="00520C5B"/>
    <w:rsid w:val="0052168D"/>
    <w:rsid w:val="00524382"/>
    <w:rsid w:val="00524ACA"/>
    <w:rsid w:val="00541CBE"/>
    <w:rsid w:val="00556F0D"/>
    <w:rsid w:val="0056112C"/>
    <w:rsid w:val="005627AC"/>
    <w:rsid w:val="00564E26"/>
    <w:rsid w:val="005661D8"/>
    <w:rsid w:val="00572F52"/>
    <w:rsid w:val="005746C8"/>
    <w:rsid w:val="00593264"/>
    <w:rsid w:val="005964F2"/>
    <w:rsid w:val="005A7683"/>
    <w:rsid w:val="005B2F9B"/>
    <w:rsid w:val="005C2039"/>
    <w:rsid w:val="005C65B9"/>
    <w:rsid w:val="005D6672"/>
    <w:rsid w:val="005D68DB"/>
    <w:rsid w:val="005F2454"/>
    <w:rsid w:val="005F3FA7"/>
    <w:rsid w:val="005F577E"/>
    <w:rsid w:val="00607093"/>
    <w:rsid w:val="00627660"/>
    <w:rsid w:val="0063553D"/>
    <w:rsid w:val="006450F9"/>
    <w:rsid w:val="00645D31"/>
    <w:rsid w:val="0064609A"/>
    <w:rsid w:val="00663C0F"/>
    <w:rsid w:val="00666E31"/>
    <w:rsid w:val="00672604"/>
    <w:rsid w:val="00677BB6"/>
    <w:rsid w:val="006825BF"/>
    <w:rsid w:val="00697E08"/>
    <w:rsid w:val="006B3E8B"/>
    <w:rsid w:val="006B4A06"/>
    <w:rsid w:val="006B6933"/>
    <w:rsid w:val="006D02ED"/>
    <w:rsid w:val="006D1B81"/>
    <w:rsid w:val="006F0932"/>
    <w:rsid w:val="007116D8"/>
    <w:rsid w:val="00714E21"/>
    <w:rsid w:val="00727EC7"/>
    <w:rsid w:val="0073038B"/>
    <w:rsid w:val="00732C12"/>
    <w:rsid w:val="0074402D"/>
    <w:rsid w:val="00744223"/>
    <w:rsid w:val="00745A24"/>
    <w:rsid w:val="00747676"/>
    <w:rsid w:val="00752274"/>
    <w:rsid w:val="00760337"/>
    <w:rsid w:val="00762199"/>
    <w:rsid w:val="00763841"/>
    <w:rsid w:val="0077075D"/>
    <w:rsid w:val="00773DB1"/>
    <w:rsid w:val="00775AC9"/>
    <w:rsid w:val="00776C20"/>
    <w:rsid w:val="007778F0"/>
    <w:rsid w:val="0079147A"/>
    <w:rsid w:val="00797E3D"/>
    <w:rsid w:val="007A6C99"/>
    <w:rsid w:val="007B0FC6"/>
    <w:rsid w:val="007B4C33"/>
    <w:rsid w:val="007C000C"/>
    <w:rsid w:val="007C22D1"/>
    <w:rsid w:val="007C7C21"/>
    <w:rsid w:val="007D0215"/>
    <w:rsid w:val="007D7162"/>
    <w:rsid w:val="007D7AAD"/>
    <w:rsid w:val="007F4F5E"/>
    <w:rsid w:val="00822DD3"/>
    <w:rsid w:val="00825B35"/>
    <w:rsid w:val="00825F3D"/>
    <w:rsid w:val="00826418"/>
    <w:rsid w:val="00826E53"/>
    <w:rsid w:val="00833FB4"/>
    <w:rsid w:val="00846FD5"/>
    <w:rsid w:val="0085432D"/>
    <w:rsid w:val="00865CF9"/>
    <w:rsid w:val="0086623A"/>
    <w:rsid w:val="008736D8"/>
    <w:rsid w:val="00875CFC"/>
    <w:rsid w:val="00886036"/>
    <w:rsid w:val="00886835"/>
    <w:rsid w:val="00890E0D"/>
    <w:rsid w:val="008B2E56"/>
    <w:rsid w:val="008B3E64"/>
    <w:rsid w:val="008C3286"/>
    <w:rsid w:val="008C4657"/>
    <w:rsid w:val="008C6690"/>
    <w:rsid w:val="008D050A"/>
    <w:rsid w:val="008D2460"/>
    <w:rsid w:val="008E28C1"/>
    <w:rsid w:val="008E672F"/>
    <w:rsid w:val="00910A31"/>
    <w:rsid w:val="009302D8"/>
    <w:rsid w:val="00933965"/>
    <w:rsid w:val="00943906"/>
    <w:rsid w:val="00953163"/>
    <w:rsid w:val="00964A44"/>
    <w:rsid w:val="0096571A"/>
    <w:rsid w:val="00966C39"/>
    <w:rsid w:val="0096709D"/>
    <w:rsid w:val="0097392A"/>
    <w:rsid w:val="0097701E"/>
    <w:rsid w:val="0098621B"/>
    <w:rsid w:val="00986550"/>
    <w:rsid w:val="00995809"/>
    <w:rsid w:val="009B0D00"/>
    <w:rsid w:val="009B0F31"/>
    <w:rsid w:val="009C2D51"/>
    <w:rsid w:val="009C7A6E"/>
    <w:rsid w:val="009D20AE"/>
    <w:rsid w:val="009E045D"/>
    <w:rsid w:val="009E0522"/>
    <w:rsid w:val="009E1004"/>
    <w:rsid w:val="009E1E53"/>
    <w:rsid w:val="009E540E"/>
    <w:rsid w:val="009F4A4E"/>
    <w:rsid w:val="00A0177A"/>
    <w:rsid w:val="00A02586"/>
    <w:rsid w:val="00A164C6"/>
    <w:rsid w:val="00A20FC8"/>
    <w:rsid w:val="00A21406"/>
    <w:rsid w:val="00A23201"/>
    <w:rsid w:val="00A27FF7"/>
    <w:rsid w:val="00A316DB"/>
    <w:rsid w:val="00A35ED5"/>
    <w:rsid w:val="00A469A8"/>
    <w:rsid w:val="00A66787"/>
    <w:rsid w:val="00A84A25"/>
    <w:rsid w:val="00A857E0"/>
    <w:rsid w:val="00A866A0"/>
    <w:rsid w:val="00A9129A"/>
    <w:rsid w:val="00A913E8"/>
    <w:rsid w:val="00AA4EE7"/>
    <w:rsid w:val="00AB1788"/>
    <w:rsid w:val="00AB4029"/>
    <w:rsid w:val="00AC2528"/>
    <w:rsid w:val="00AC5032"/>
    <w:rsid w:val="00AC7BA2"/>
    <w:rsid w:val="00AE0677"/>
    <w:rsid w:val="00AE237D"/>
    <w:rsid w:val="00AE28DB"/>
    <w:rsid w:val="00AE35BF"/>
    <w:rsid w:val="00AF3DD8"/>
    <w:rsid w:val="00B25A6F"/>
    <w:rsid w:val="00B33C63"/>
    <w:rsid w:val="00B46D9A"/>
    <w:rsid w:val="00B46E76"/>
    <w:rsid w:val="00B6029C"/>
    <w:rsid w:val="00B65A87"/>
    <w:rsid w:val="00B804F9"/>
    <w:rsid w:val="00B811BB"/>
    <w:rsid w:val="00B83351"/>
    <w:rsid w:val="00B861F7"/>
    <w:rsid w:val="00B93E1D"/>
    <w:rsid w:val="00B958EF"/>
    <w:rsid w:val="00B9708C"/>
    <w:rsid w:val="00BA2520"/>
    <w:rsid w:val="00BA43BE"/>
    <w:rsid w:val="00BA4C1A"/>
    <w:rsid w:val="00BB5523"/>
    <w:rsid w:val="00BC0339"/>
    <w:rsid w:val="00BC091E"/>
    <w:rsid w:val="00BC256F"/>
    <w:rsid w:val="00BD71BC"/>
    <w:rsid w:val="00BE5023"/>
    <w:rsid w:val="00BE5155"/>
    <w:rsid w:val="00C02BDF"/>
    <w:rsid w:val="00C0706D"/>
    <w:rsid w:val="00C10554"/>
    <w:rsid w:val="00C23290"/>
    <w:rsid w:val="00C3106B"/>
    <w:rsid w:val="00C34BBD"/>
    <w:rsid w:val="00C406D0"/>
    <w:rsid w:val="00C4148E"/>
    <w:rsid w:val="00C42D13"/>
    <w:rsid w:val="00C43190"/>
    <w:rsid w:val="00C57802"/>
    <w:rsid w:val="00C57EAC"/>
    <w:rsid w:val="00C64078"/>
    <w:rsid w:val="00C70709"/>
    <w:rsid w:val="00C72DFA"/>
    <w:rsid w:val="00C822DF"/>
    <w:rsid w:val="00C85BB0"/>
    <w:rsid w:val="00C936F6"/>
    <w:rsid w:val="00CA2BDE"/>
    <w:rsid w:val="00CA4872"/>
    <w:rsid w:val="00CA7210"/>
    <w:rsid w:val="00CB3296"/>
    <w:rsid w:val="00CC0668"/>
    <w:rsid w:val="00CC4BBE"/>
    <w:rsid w:val="00CE36DA"/>
    <w:rsid w:val="00CE3ECD"/>
    <w:rsid w:val="00D30EB0"/>
    <w:rsid w:val="00D56F02"/>
    <w:rsid w:val="00D66B9F"/>
    <w:rsid w:val="00D72055"/>
    <w:rsid w:val="00D80CD7"/>
    <w:rsid w:val="00D821D0"/>
    <w:rsid w:val="00DA3A2B"/>
    <w:rsid w:val="00DA3F48"/>
    <w:rsid w:val="00DB3610"/>
    <w:rsid w:val="00DB5A9E"/>
    <w:rsid w:val="00DB5D42"/>
    <w:rsid w:val="00DB7B46"/>
    <w:rsid w:val="00DD2F04"/>
    <w:rsid w:val="00DE4C59"/>
    <w:rsid w:val="00DF1F5E"/>
    <w:rsid w:val="00E0009A"/>
    <w:rsid w:val="00E13123"/>
    <w:rsid w:val="00E148B6"/>
    <w:rsid w:val="00E21745"/>
    <w:rsid w:val="00E2766C"/>
    <w:rsid w:val="00E32F6D"/>
    <w:rsid w:val="00E33D03"/>
    <w:rsid w:val="00E37421"/>
    <w:rsid w:val="00E377B3"/>
    <w:rsid w:val="00E40DC3"/>
    <w:rsid w:val="00E418F5"/>
    <w:rsid w:val="00E4208E"/>
    <w:rsid w:val="00E6206A"/>
    <w:rsid w:val="00E73A1F"/>
    <w:rsid w:val="00E73BBF"/>
    <w:rsid w:val="00E81185"/>
    <w:rsid w:val="00E87915"/>
    <w:rsid w:val="00E92F17"/>
    <w:rsid w:val="00EA54A3"/>
    <w:rsid w:val="00EA7372"/>
    <w:rsid w:val="00EC10AB"/>
    <w:rsid w:val="00EC11F8"/>
    <w:rsid w:val="00EC6265"/>
    <w:rsid w:val="00ED38EF"/>
    <w:rsid w:val="00ED39A4"/>
    <w:rsid w:val="00ED76EF"/>
    <w:rsid w:val="00EE00DE"/>
    <w:rsid w:val="00EE05A9"/>
    <w:rsid w:val="00EE0622"/>
    <w:rsid w:val="00EE1165"/>
    <w:rsid w:val="00EF21AC"/>
    <w:rsid w:val="00EF5D0F"/>
    <w:rsid w:val="00EF5E6B"/>
    <w:rsid w:val="00EF6E68"/>
    <w:rsid w:val="00F046B1"/>
    <w:rsid w:val="00F04FB7"/>
    <w:rsid w:val="00F055B6"/>
    <w:rsid w:val="00F06C9D"/>
    <w:rsid w:val="00F10F2C"/>
    <w:rsid w:val="00F12BFF"/>
    <w:rsid w:val="00F15FA3"/>
    <w:rsid w:val="00F20812"/>
    <w:rsid w:val="00F2582A"/>
    <w:rsid w:val="00F263BC"/>
    <w:rsid w:val="00F33193"/>
    <w:rsid w:val="00F95838"/>
    <w:rsid w:val="00FA3F7D"/>
    <w:rsid w:val="00FB344B"/>
    <w:rsid w:val="00FB37E0"/>
    <w:rsid w:val="00FC01DE"/>
    <w:rsid w:val="00FC3B55"/>
    <w:rsid w:val="00FD2134"/>
    <w:rsid w:val="00FD3224"/>
    <w:rsid w:val="00FD3C5D"/>
    <w:rsid w:val="00FD4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EF72042-50A6-40D8-8A9D-5E3988A3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BBD"/>
    <w:pPr>
      <w:spacing w:after="160" w:line="259" w:lineRule="auto"/>
    </w:pPr>
  </w:style>
  <w:style w:type="paragraph" w:styleId="Heading1">
    <w:name w:val="heading 1"/>
    <w:basedOn w:val="Normal"/>
    <w:next w:val="Normal"/>
    <w:link w:val="Heading1Char"/>
    <w:uiPriority w:val="9"/>
    <w:qFormat/>
    <w:rsid w:val="00070B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38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775A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character" w:styleId="PlaceholderText">
    <w:name w:val="Placeholder Text"/>
    <w:basedOn w:val="DefaultParagraphFont"/>
    <w:uiPriority w:val="99"/>
    <w:semiHidden/>
    <w:rsid w:val="00C34BBD"/>
    <w:rPr>
      <w:color w:val="808080"/>
    </w:rPr>
  </w:style>
  <w:style w:type="paragraph" w:styleId="ListParagraph">
    <w:name w:val="List Paragraph"/>
    <w:basedOn w:val="Normal"/>
    <w:link w:val="ListParagraphChar"/>
    <w:uiPriority w:val="34"/>
    <w:qFormat/>
    <w:rsid w:val="00C34BBD"/>
    <w:pPr>
      <w:ind w:left="720"/>
      <w:contextualSpacing/>
    </w:pPr>
  </w:style>
  <w:style w:type="character" w:customStyle="1" w:styleId="Heading1Char">
    <w:name w:val="Heading 1 Char"/>
    <w:basedOn w:val="DefaultParagraphFont"/>
    <w:link w:val="Heading1"/>
    <w:uiPriority w:val="9"/>
    <w:rsid w:val="00070B56"/>
    <w:rPr>
      <w:rFonts w:asciiTheme="majorHAnsi" w:eastAsiaTheme="majorEastAsia" w:hAnsiTheme="majorHAnsi" w:cstheme="majorBidi"/>
      <w:color w:val="365F91" w:themeColor="accent1" w:themeShade="BF"/>
      <w:sz w:val="32"/>
      <w:szCs w:val="32"/>
    </w:rPr>
  </w:style>
  <w:style w:type="paragraph" w:styleId="NormalWeb">
    <w:name w:val="Normal (Web)"/>
    <w:basedOn w:val="Normal"/>
    <w:rsid w:val="004719C5"/>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Default">
    <w:name w:val="Default"/>
    <w:rsid w:val="004719C5"/>
    <w:pPr>
      <w:autoSpaceDE w:val="0"/>
      <w:autoSpaceDN w:val="0"/>
      <w:adjustRightInd w:val="0"/>
      <w:spacing w:after="0" w:line="240" w:lineRule="auto"/>
    </w:pPr>
    <w:rPr>
      <w:rFonts w:ascii="Arial" w:eastAsia="Times New Roman" w:hAnsi="Arial" w:cs="Arial"/>
      <w:color w:val="000000"/>
      <w:sz w:val="24"/>
      <w:szCs w:val="24"/>
      <w:lang w:val="en-US" w:eastAsia="en-GB"/>
    </w:rPr>
  </w:style>
  <w:style w:type="table" w:styleId="TableGrid">
    <w:name w:val="Table Grid"/>
    <w:basedOn w:val="TableNormal"/>
    <w:rsid w:val="004719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719C5"/>
    <w:rPr>
      <w:i/>
      <w:iCs/>
    </w:rPr>
  </w:style>
  <w:style w:type="character" w:styleId="Hyperlink">
    <w:name w:val="Hyperlink"/>
    <w:basedOn w:val="DefaultParagraphFont"/>
    <w:uiPriority w:val="99"/>
    <w:rsid w:val="00763841"/>
    <w:rPr>
      <w:rFonts w:asciiTheme="majorHAnsi" w:hAnsiTheme="majorHAnsi"/>
      <w:color w:val="0000FF"/>
      <w:sz w:val="22"/>
      <w:u w:val="single"/>
    </w:rPr>
  </w:style>
  <w:style w:type="paragraph" w:styleId="FootnoteText">
    <w:name w:val="footnote text"/>
    <w:basedOn w:val="Normal"/>
    <w:link w:val="FootnoteTextChar"/>
    <w:uiPriority w:val="99"/>
    <w:rsid w:val="0076384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76384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763841"/>
    <w:rPr>
      <w:vertAlign w:val="superscript"/>
    </w:rPr>
  </w:style>
  <w:style w:type="character" w:customStyle="1" w:styleId="Heading2Char">
    <w:name w:val="Heading 2 Char"/>
    <w:basedOn w:val="DefaultParagraphFont"/>
    <w:link w:val="Heading2"/>
    <w:uiPriority w:val="9"/>
    <w:rsid w:val="00763841"/>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7638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3841"/>
    <w:rPr>
      <w:sz w:val="20"/>
      <w:szCs w:val="20"/>
    </w:rPr>
  </w:style>
  <w:style w:type="character" w:styleId="EndnoteReference">
    <w:name w:val="endnote reference"/>
    <w:basedOn w:val="DefaultParagraphFont"/>
    <w:uiPriority w:val="99"/>
    <w:semiHidden/>
    <w:unhideWhenUsed/>
    <w:rsid w:val="00763841"/>
    <w:rPr>
      <w:vertAlign w:val="superscript"/>
    </w:rPr>
  </w:style>
  <w:style w:type="paragraph" w:styleId="NoSpacing">
    <w:name w:val="No Spacing"/>
    <w:uiPriority w:val="1"/>
    <w:qFormat/>
    <w:rsid w:val="00A913E8"/>
    <w:pPr>
      <w:spacing w:after="0" w:line="240" w:lineRule="auto"/>
    </w:pPr>
  </w:style>
  <w:style w:type="paragraph" w:styleId="TOCHeading">
    <w:name w:val="TOC Heading"/>
    <w:basedOn w:val="Heading1"/>
    <w:next w:val="Normal"/>
    <w:uiPriority w:val="39"/>
    <w:unhideWhenUsed/>
    <w:qFormat/>
    <w:rsid w:val="007C7C21"/>
    <w:pPr>
      <w:outlineLvl w:val="9"/>
    </w:pPr>
    <w:rPr>
      <w:lang w:val="en-US"/>
    </w:rPr>
  </w:style>
  <w:style w:type="paragraph" w:styleId="TOC2">
    <w:name w:val="toc 2"/>
    <w:basedOn w:val="Normal"/>
    <w:next w:val="Normal"/>
    <w:autoRedefine/>
    <w:uiPriority w:val="39"/>
    <w:unhideWhenUsed/>
    <w:rsid w:val="007C7C21"/>
    <w:pPr>
      <w:spacing w:after="100"/>
      <w:ind w:left="220"/>
    </w:pPr>
  </w:style>
  <w:style w:type="paragraph" w:styleId="TOC1">
    <w:name w:val="toc 1"/>
    <w:basedOn w:val="Normal"/>
    <w:next w:val="Normal"/>
    <w:autoRedefine/>
    <w:uiPriority w:val="39"/>
    <w:unhideWhenUsed/>
    <w:rsid w:val="007C7C21"/>
    <w:pPr>
      <w:spacing w:after="100"/>
    </w:pPr>
  </w:style>
  <w:style w:type="character" w:customStyle="1" w:styleId="Heading4Char">
    <w:name w:val="Heading 4 Char"/>
    <w:basedOn w:val="DefaultParagraphFont"/>
    <w:link w:val="Heading4"/>
    <w:uiPriority w:val="9"/>
    <w:semiHidden/>
    <w:rsid w:val="00775AC9"/>
    <w:rPr>
      <w:rFonts w:asciiTheme="majorHAnsi" w:eastAsiaTheme="majorEastAsia" w:hAnsiTheme="majorHAnsi" w:cstheme="majorBidi"/>
      <w:i/>
      <w:iCs/>
      <w:color w:val="365F91" w:themeColor="accent1" w:themeShade="BF"/>
    </w:rPr>
  </w:style>
  <w:style w:type="character" w:customStyle="1" w:styleId="ListParagraphChar">
    <w:name w:val="List Paragraph Char"/>
    <w:basedOn w:val="DefaultParagraphFont"/>
    <w:link w:val="ListParagraph"/>
    <w:uiPriority w:val="34"/>
    <w:rsid w:val="00EC10AB"/>
  </w:style>
  <w:style w:type="character" w:styleId="FollowedHyperlink">
    <w:name w:val="FollowedHyperlink"/>
    <w:basedOn w:val="DefaultParagraphFont"/>
    <w:uiPriority w:val="99"/>
    <w:semiHidden/>
    <w:unhideWhenUsed/>
    <w:rsid w:val="00986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6407">
      <w:bodyDiv w:val="1"/>
      <w:marLeft w:val="0"/>
      <w:marRight w:val="0"/>
      <w:marTop w:val="0"/>
      <w:marBottom w:val="0"/>
      <w:divBdr>
        <w:top w:val="none" w:sz="0" w:space="0" w:color="auto"/>
        <w:left w:val="none" w:sz="0" w:space="0" w:color="auto"/>
        <w:bottom w:val="none" w:sz="0" w:space="0" w:color="auto"/>
        <w:right w:val="none" w:sz="0" w:space="0" w:color="auto"/>
      </w:divBdr>
    </w:div>
    <w:div w:id="166097103">
      <w:bodyDiv w:val="1"/>
      <w:marLeft w:val="0"/>
      <w:marRight w:val="0"/>
      <w:marTop w:val="0"/>
      <w:marBottom w:val="0"/>
      <w:divBdr>
        <w:top w:val="none" w:sz="0" w:space="0" w:color="auto"/>
        <w:left w:val="none" w:sz="0" w:space="0" w:color="auto"/>
        <w:bottom w:val="none" w:sz="0" w:space="0" w:color="auto"/>
        <w:right w:val="none" w:sz="0" w:space="0" w:color="auto"/>
      </w:divBdr>
    </w:div>
    <w:div w:id="197621589">
      <w:bodyDiv w:val="1"/>
      <w:marLeft w:val="0"/>
      <w:marRight w:val="0"/>
      <w:marTop w:val="0"/>
      <w:marBottom w:val="0"/>
      <w:divBdr>
        <w:top w:val="none" w:sz="0" w:space="0" w:color="auto"/>
        <w:left w:val="none" w:sz="0" w:space="0" w:color="auto"/>
        <w:bottom w:val="none" w:sz="0" w:space="0" w:color="auto"/>
        <w:right w:val="none" w:sz="0" w:space="0" w:color="auto"/>
      </w:divBdr>
    </w:div>
    <w:div w:id="229847729">
      <w:bodyDiv w:val="1"/>
      <w:marLeft w:val="0"/>
      <w:marRight w:val="0"/>
      <w:marTop w:val="0"/>
      <w:marBottom w:val="0"/>
      <w:divBdr>
        <w:top w:val="none" w:sz="0" w:space="0" w:color="auto"/>
        <w:left w:val="none" w:sz="0" w:space="0" w:color="auto"/>
        <w:bottom w:val="none" w:sz="0" w:space="0" w:color="auto"/>
        <w:right w:val="none" w:sz="0" w:space="0" w:color="auto"/>
      </w:divBdr>
    </w:div>
    <w:div w:id="388236329">
      <w:bodyDiv w:val="1"/>
      <w:marLeft w:val="0"/>
      <w:marRight w:val="0"/>
      <w:marTop w:val="0"/>
      <w:marBottom w:val="0"/>
      <w:divBdr>
        <w:top w:val="none" w:sz="0" w:space="0" w:color="auto"/>
        <w:left w:val="none" w:sz="0" w:space="0" w:color="auto"/>
        <w:bottom w:val="none" w:sz="0" w:space="0" w:color="auto"/>
        <w:right w:val="none" w:sz="0" w:space="0" w:color="auto"/>
      </w:divBdr>
    </w:div>
    <w:div w:id="392504873">
      <w:bodyDiv w:val="1"/>
      <w:marLeft w:val="0"/>
      <w:marRight w:val="0"/>
      <w:marTop w:val="0"/>
      <w:marBottom w:val="0"/>
      <w:divBdr>
        <w:top w:val="none" w:sz="0" w:space="0" w:color="auto"/>
        <w:left w:val="none" w:sz="0" w:space="0" w:color="auto"/>
        <w:bottom w:val="none" w:sz="0" w:space="0" w:color="auto"/>
        <w:right w:val="none" w:sz="0" w:space="0" w:color="auto"/>
      </w:divBdr>
    </w:div>
    <w:div w:id="458182127">
      <w:bodyDiv w:val="1"/>
      <w:marLeft w:val="0"/>
      <w:marRight w:val="0"/>
      <w:marTop w:val="0"/>
      <w:marBottom w:val="0"/>
      <w:divBdr>
        <w:top w:val="none" w:sz="0" w:space="0" w:color="auto"/>
        <w:left w:val="none" w:sz="0" w:space="0" w:color="auto"/>
        <w:bottom w:val="none" w:sz="0" w:space="0" w:color="auto"/>
        <w:right w:val="none" w:sz="0" w:space="0" w:color="auto"/>
      </w:divBdr>
    </w:div>
    <w:div w:id="513495363">
      <w:bodyDiv w:val="1"/>
      <w:marLeft w:val="0"/>
      <w:marRight w:val="0"/>
      <w:marTop w:val="0"/>
      <w:marBottom w:val="0"/>
      <w:divBdr>
        <w:top w:val="none" w:sz="0" w:space="0" w:color="auto"/>
        <w:left w:val="none" w:sz="0" w:space="0" w:color="auto"/>
        <w:bottom w:val="none" w:sz="0" w:space="0" w:color="auto"/>
        <w:right w:val="none" w:sz="0" w:space="0" w:color="auto"/>
      </w:divBdr>
    </w:div>
    <w:div w:id="571425261">
      <w:bodyDiv w:val="1"/>
      <w:marLeft w:val="0"/>
      <w:marRight w:val="0"/>
      <w:marTop w:val="0"/>
      <w:marBottom w:val="0"/>
      <w:divBdr>
        <w:top w:val="none" w:sz="0" w:space="0" w:color="auto"/>
        <w:left w:val="none" w:sz="0" w:space="0" w:color="auto"/>
        <w:bottom w:val="none" w:sz="0" w:space="0" w:color="auto"/>
        <w:right w:val="none" w:sz="0" w:space="0" w:color="auto"/>
      </w:divBdr>
    </w:div>
    <w:div w:id="581259744">
      <w:bodyDiv w:val="1"/>
      <w:marLeft w:val="0"/>
      <w:marRight w:val="0"/>
      <w:marTop w:val="0"/>
      <w:marBottom w:val="0"/>
      <w:divBdr>
        <w:top w:val="none" w:sz="0" w:space="0" w:color="auto"/>
        <w:left w:val="none" w:sz="0" w:space="0" w:color="auto"/>
        <w:bottom w:val="none" w:sz="0" w:space="0" w:color="auto"/>
        <w:right w:val="none" w:sz="0" w:space="0" w:color="auto"/>
      </w:divBdr>
    </w:div>
    <w:div w:id="706029641">
      <w:bodyDiv w:val="1"/>
      <w:marLeft w:val="0"/>
      <w:marRight w:val="0"/>
      <w:marTop w:val="0"/>
      <w:marBottom w:val="0"/>
      <w:divBdr>
        <w:top w:val="none" w:sz="0" w:space="0" w:color="auto"/>
        <w:left w:val="none" w:sz="0" w:space="0" w:color="auto"/>
        <w:bottom w:val="none" w:sz="0" w:space="0" w:color="auto"/>
        <w:right w:val="none" w:sz="0" w:space="0" w:color="auto"/>
      </w:divBdr>
    </w:div>
    <w:div w:id="726680824">
      <w:bodyDiv w:val="1"/>
      <w:marLeft w:val="0"/>
      <w:marRight w:val="0"/>
      <w:marTop w:val="0"/>
      <w:marBottom w:val="0"/>
      <w:divBdr>
        <w:top w:val="none" w:sz="0" w:space="0" w:color="auto"/>
        <w:left w:val="none" w:sz="0" w:space="0" w:color="auto"/>
        <w:bottom w:val="none" w:sz="0" w:space="0" w:color="auto"/>
        <w:right w:val="none" w:sz="0" w:space="0" w:color="auto"/>
      </w:divBdr>
    </w:div>
    <w:div w:id="733965258">
      <w:bodyDiv w:val="1"/>
      <w:marLeft w:val="0"/>
      <w:marRight w:val="0"/>
      <w:marTop w:val="0"/>
      <w:marBottom w:val="0"/>
      <w:divBdr>
        <w:top w:val="none" w:sz="0" w:space="0" w:color="auto"/>
        <w:left w:val="none" w:sz="0" w:space="0" w:color="auto"/>
        <w:bottom w:val="none" w:sz="0" w:space="0" w:color="auto"/>
        <w:right w:val="none" w:sz="0" w:space="0" w:color="auto"/>
      </w:divBdr>
    </w:div>
    <w:div w:id="869996010">
      <w:bodyDiv w:val="1"/>
      <w:marLeft w:val="0"/>
      <w:marRight w:val="0"/>
      <w:marTop w:val="0"/>
      <w:marBottom w:val="0"/>
      <w:divBdr>
        <w:top w:val="none" w:sz="0" w:space="0" w:color="auto"/>
        <w:left w:val="none" w:sz="0" w:space="0" w:color="auto"/>
        <w:bottom w:val="none" w:sz="0" w:space="0" w:color="auto"/>
        <w:right w:val="none" w:sz="0" w:space="0" w:color="auto"/>
      </w:divBdr>
    </w:div>
    <w:div w:id="886179653">
      <w:bodyDiv w:val="1"/>
      <w:marLeft w:val="0"/>
      <w:marRight w:val="0"/>
      <w:marTop w:val="0"/>
      <w:marBottom w:val="0"/>
      <w:divBdr>
        <w:top w:val="none" w:sz="0" w:space="0" w:color="auto"/>
        <w:left w:val="none" w:sz="0" w:space="0" w:color="auto"/>
        <w:bottom w:val="none" w:sz="0" w:space="0" w:color="auto"/>
        <w:right w:val="none" w:sz="0" w:space="0" w:color="auto"/>
      </w:divBdr>
    </w:div>
    <w:div w:id="995574153">
      <w:bodyDiv w:val="1"/>
      <w:marLeft w:val="0"/>
      <w:marRight w:val="0"/>
      <w:marTop w:val="0"/>
      <w:marBottom w:val="0"/>
      <w:divBdr>
        <w:top w:val="none" w:sz="0" w:space="0" w:color="auto"/>
        <w:left w:val="none" w:sz="0" w:space="0" w:color="auto"/>
        <w:bottom w:val="none" w:sz="0" w:space="0" w:color="auto"/>
        <w:right w:val="none" w:sz="0" w:space="0" w:color="auto"/>
      </w:divBdr>
    </w:div>
    <w:div w:id="1058747141">
      <w:bodyDiv w:val="1"/>
      <w:marLeft w:val="0"/>
      <w:marRight w:val="0"/>
      <w:marTop w:val="0"/>
      <w:marBottom w:val="0"/>
      <w:divBdr>
        <w:top w:val="none" w:sz="0" w:space="0" w:color="auto"/>
        <w:left w:val="none" w:sz="0" w:space="0" w:color="auto"/>
        <w:bottom w:val="none" w:sz="0" w:space="0" w:color="auto"/>
        <w:right w:val="none" w:sz="0" w:space="0" w:color="auto"/>
      </w:divBdr>
    </w:div>
    <w:div w:id="1115515156">
      <w:bodyDiv w:val="1"/>
      <w:marLeft w:val="0"/>
      <w:marRight w:val="0"/>
      <w:marTop w:val="0"/>
      <w:marBottom w:val="0"/>
      <w:divBdr>
        <w:top w:val="none" w:sz="0" w:space="0" w:color="auto"/>
        <w:left w:val="none" w:sz="0" w:space="0" w:color="auto"/>
        <w:bottom w:val="none" w:sz="0" w:space="0" w:color="auto"/>
        <w:right w:val="none" w:sz="0" w:space="0" w:color="auto"/>
      </w:divBdr>
    </w:div>
    <w:div w:id="1122386491">
      <w:bodyDiv w:val="1"/>
      <w:marLeft w:val="0"/>
      <w:marRight w:val="0"/>
      <w:marTop w:val="0"/>
      <w:marBottom w:val="0"/>
      <w:divBdr>
        <w:top w:val="none" w:sz="0" w:space="0" w:color="auto"/>
        <w:left w:val="none" w:sz="0" w:space="0" w:color="auto"/>
        <w:bottom w:val="none" w:sz="0" w:space="0" w:color="auto"/>
        <w:right w:val="none" w:sz="0" w:space="0" w:color="auto"/>
      </w:divBdr>
    </w:div>
    <w:div w:id="1182085630">
      <w:bodyDiv w:val="1"/>
      <w:marLeft w:val="0"/>
      <w:marRight w:val="0"/>
      <w:marTop w:val="0"/>
      <w:marBottom w:val="0"/>
      <w:divBdr>
        <w:top w:val="none" w:sz="0" w:space="0" w:color="auto"/>
        <w:left w:val="none" w:sz="0" w:space="0" w:color="auto"/>
        <w:bottom w:val="none" w:sz="0" w:space="0" w:color="auto"/>
        <w:right w:val="none" w:sz="0" w:space="0" w:color="auto"/>
      </w:divBdr>
    </w:div>
    <w:div w:id="1240941542">
      <w:bodyDiv w:val="1"/>
      <w:marLeft w:val="0"/>
      <w:marRight w:val="0"/>
      <w:marTop w:val="0"/>
      <w:marBottom w:val="0"/>
      <w:divBdr>
        <w:top w:val="none" w:sz="0" w:space="0" w:color="auto"/>
        <w:left w:val="none" w:sz="0" w:space="0" w:color="auto"/>
        <w:bottom w:val="none" w:sz="0" w:space="0" w:color="auto"/>
        <w:right w:val="none" w:sz="0" w:space="0" w:color="auto"/>
      </w:divBdr>
    </w:div>
    <w:div w:id="1302534739">
      <w:bodyDiv w:val="1"/>
      <w:marLeft w:val="0"/>
      <w:marRight w:val="0"/>
      <w:marTop w:val="0"/>
      <w:marBottom w:val="0"/>
      <w:divBdr>
        <w:top w:val="none" w:sz="0" w:space="0" w:color="auto"/>
        <w:left w:val="none" w:sz="0" w:space="0" w:color="auto"/>
        <w:bottom w:val="none" w:sz="0" w:space="0" w:color="auto"/>
        <w:right w:val="none" w:sz="0" w:space="0" w:color="auto"/>
      </w:divBdr>
    </w:div>
    <w:div w:id="1306814779">
      <w:bodyDiv w:val="1"/>
      <w:marLeft w:val="0"/>
      <w:marRight w:val="0"/>
      <w:marTop w:val="0"/>
      <w:marBottom w:val="0"/>
      <w:divBdr>
        <w:top w:val="none" w:sz="0" w:space="0" w:color="auto"/>
        <w:left w:val="none" w:sz="0" w:space="0" w:color="auto"/>
        <w:bottom w:val="none" w:sz="0" w:space="0" w:color="auto"/>
        <w:right w:val="none" w:sz="0" w:space="0" w:color="auto"/>
      </w:divBdr>
    </w:div>
    <w:div w:id="1557014199">
      <w:bodyDiv w:val="1"/>
      <w:marLeft w:val="0"/>
      <w:marRight w:val="0"/>
      <w:marTop w:val="0"/>
      <w:marBottom w:val="0"/>
      <w:divBdr>
        <w:top w:val="none" w:sz="0" w:space="0" w:color="auto"/>
        <w:left w:val="none" w:sz="0" w:space="0" w:color="auto"/>
        <w:bottom w:val="none" w:sz="0" w:space="0" w:color="auto"/>
        <w:right w:val="none" w:sz="0" w:space="0" w:color="auto"/>
      </w:divBdr>
    </w:div>
    <w:div w:id="1578174971">
      <w:bodyDiv w:val="1"/>
      <w:marLeft w:val="0"/>
      <w:marRight w:val="0"/>
      <w:marTop w:val="0"/>
      <w:marBottom w:val="0"/>
      <w:divBdr>
        <w:top w:val="none" w:sz="0" w:space="0" w:color="auto"/>
        <w:left w:val="none" w:sz="0" w:space="0" w:color="auto"/>
        <w:bottom w:val="none" w:sz="0" w:space="0" w:color="auto"/>
        <w:right w:val="none" w:sz="0" w:space="0" w:color="auto"/>
      </w:divBdr>
    </w:div>
    <w:div w:id="1638028762">
      <w:bodyDiv w:val="1"/>
      <w:marLeft w:val="0"/>
      <w:marRight w:val="0"/>
      <w:marTop w:val="0"/>
      <w:marBottom w:val="0"/>
      <w:divBdr>
        <w:top w:val="none" w:sz="0" w:space="0" w:color="auto"/>
        <w:left w:val="none" w:sz="0" w:space="0" w:color="auto"/>
        <w:bottom w:val="none" w:sz="0" w:space="0" w:color="auto"/>
        <w:right w:val="none" w:sz="0" w:space="0" w:color="auto"/>
      </w:divBdr>
    </w:div>
    <w:div w:id="1779566717">
      <w:bodyDiv w:val="1"/>
      <w:marLeft w:val="0"/>
      <w:marRight w:val="0"/>
      <w:marTop w:val="0"/>
      <w:marBottom w:val="0"/>
      <w:divBdr>
        <w:top w:val="none" w:sz="0" w:space="0" w:color="auto"/>
        <w:left w:val="none" w:sz="0" w:space="0" w:color="auto"/>
        <w:bottom w:val="none" w:sz="0" w:space="0" w:color="auto"/>
        <w:right w:val="none" w:sz="0" w:space="0" w:color="auto"/>
      </w:divBdr>
    </w:div>
    <w:div w:id="1886599235">
      <w:bodyDiv w:val="1"/>
      <w:marLeft w:val="0"/>
      <w:marRight w:val="0"/>
      <w:marTop w:val="0"/>
      <w:marBottom w:val="0"/>
      <w:divBdr>
        <w:top w:val="none" w:sz="0" w:space="0" w:color="auto"/>
        <w:left w:val="none" w:sz="0" w:space="0" w:color="auto"/>
        <w:bottom w:val="none" w:sz="0" w:space="0" w:color="auto"/>
        <w:right w:val="none" w:sz="0" w:space="0" w:color="auto"/>
      </w:divBdr>
    </w:div>
    <w:div w:id="1951665163">
      <w:bodyDiv w:val="1"/>
      <w:marLeft w:val="0"/>
      <w:marRight w:val="0"/>
      <w:marTop w:val="0"/>
      <w:marBottom w:val="0"/>
      <w:divBdr>
        <w:top w:val="none" w:sz="0" w:space="0" w:color="auto"/>
        <w:left w:val="none" w:sz="0" w:space="0" w:color="auto"/>
        <w:bottom w:val="none" w:sz="0" w:space="0" w:color="auto"/>
        <w:right w:val="none" w:sz="0" w:space="0" w:color="auto"/>
      </w:divBdr>
    </w:div>
    <w:div w:id="20043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eu-patient.eu" TargetMode="External"/><Relationship Id="rId13" Type="http://schemas.openxmlformats.org/officeDocument/2006/relationships/hyperlink" Target="http://ec.europa.eu/public_opinion/archives/ebs/ebs_425_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health/cross_border_care/docs/2015_evaluative_study_frep_e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patient.eu/globalassets/policy/cross-borderhealthcare/cbhc-summary-report-final_extern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eu/youreurope/citizens/health/planned-healthcare/get-more-info/index_e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health/cross_border_care/key_documents/index_en.htm" TargetMode="External"/><Relationship Id="rId14" Type="http://schemas.openxmlformats.org/officeDocument/2006/relationships/hyperlink" Target="http://ec.europa.eu/public_opinion/archives/eb_special_439_420_en.ht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eu-patient.eu/whatwedo/Projects/Chain-of-Trust/" TargetMode="External"/><Relationship Id="rId3" Type="http://schemas.openxmlformats.org/officeDocument/2006/relationships/hyperlink" Target="http://www.eu-patient.eu/globalassets/policy/cross-borderhealthcare/cbhc-summary-report-final_external.pdf" TargetMode="External"/><Relationship Id="rId7" Type="http://schemas.openxmlformats.org/officeDocument/2006/relationships/hyperlink" Target="http://www.eu-patient.eu/globalassets/policy/cross-borderhealthcare/2013-11-18_cbhc_guidance-final.pdf" TargetMode="External"/><Relationship Id="rId2" Type="http://schemas.openxmlformats.org/officeDocument/2006/relationships/hyperlink" Target="http://www.eu-patient.eu/globalassets/policy/cross-borderhealthcare/cbhc-summary-report-final_external.pdf" TargetMode="External"/><Relationship Id="rId1" Type="http://schemas.openxmlformats.org/officeDocument/2006/relationships/hyperlink" Target="http://www.eu-patient.eu/whatwedo/Policy/Patients-Mobility/" TargetMode="External"/><Relationship Id="rId6" Type="http://schemas.openxmlformats.org/officeDocument/2006/relationships/hyperlink" Target="http://www.eu-patient.eu/globalassets/policy/healthinequalities/epf-position-dec2010.pdf" TargetMode="External"/><Relationship Id="rId11" Type="http://schemas.openxmlformats.org/officeDocument/2006/relationships/hyperlink" Target="http://www.eurordis.org/content/help-line-services" TargetMode="External"/><Relationship Id="rId5" Type="http://schemas.openxmlformats.org/officeDocument/2006/relationships/hyperlink" Target="http://www.eu-patient.eu/globalassets/policy/cross-borderhealthcare/cbhc-summary-report-final_external.pdf" TargetMode="External"/><Relationship Id="rId10" Type="http://schemas.openxmlformats.org/officeDocument/2006/relationships/hyperlink" Target="http://www.ncbi.nlm.nih.gov/pubmed/24797216" TargetMode="External"/><Relationship Id="rId4" Type="http://schemas.openxmlformats.org/officeDocument/2006/relationships/hyperlink" Target="http://europa.eu/youreurope/citizens/health/planned-healthcare/get-more-info/index_en.htm" TargetMode="External"/><Relationship Id="rId9" Type="http://schemas.openxmlformats.org/officeDocument/2006/relationships/hyperlink" Target="http://www.eu-patient.eu/whatwedo/Projects/Value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Desktop\EP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F042-FD96-4AFD-8FDF-19470528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EPF_TEMPLATE</Template>
  <TotalTime>70</TotalTime>
  <Pages>20</Pages>
  <Words>6926</Words>
  <Characters>39482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Kaisa</cp:lastModifiedBy>
  <cp:revision>27</cp:revision>
  <cp:lastPrinted>2014-11-03T17:09:00Z</cp:lastPrinted>
  <dcterms:created xsi:type="dcterms:W3CDTF">2016-02-08T19:27:00Z</dcterms:created>
  <dcterms:modified xsi:type="dcterms:W3CDTF">2016-02-08T20:49:00Z</dcterms:modified>
</cp:coreProperties>
</file>